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4A0" w:firstRow="1" w:lastRow="0" w:firstColumn="1" w:lastColumn="0" w:noHBand="0" w:noVBand="1"/>
      </w:tblPr>
      <w:tblGrid>
        <w:gridCol w:w="2254"/>
        <w:gridCol w:w="6746"/>
      </w:tblGrid>
      <w:tr w:rsidR="00095719" w14:paraId="3F79FC21" w14:textId="77777777">
        <w:trPr>
          <w:tblCellSpacing w:w="60" w:type="dxa"/>
        </w:trPr>
        <w:tc>
          <w:tcPr>
            <w:tcW w:w="1200" w:type="pct"/>
            <w:shd w:val="clear" w:color="auto" w:fill="E7F0F9"/>
          </w:tcPr>
          <w:p w14:paraId="0D8689EB" w14:textId="77777777" w:rsidR="00095719" w:rsidRDefault="00A2569F">
            <w:pPr>
              <w:spacing w:after="0" w:line="240" w:lineRule="auto"/>
            </w:pPr>
            <w:r>
              <w:rPr>
                <w:b/>
              </w:rPr>
              <w:t>RKP broj</w:t>
            </w:r>
          </w:p>
        </w:tc>
        <w:tc>
          <w:tcPr>
            <w:tcW w:w="0" w:type="auto"/>
            <w:shd w:val="clear" w:color="auto" w:fill="E7F0F9"/>
          </w:tcPr>
          <w:p w14:paraId="7D65A50E" w14:textId="77777777" w:rsidR="00095719" w:rsidRDefault="00A2569F">
            <w:pPr>
              <w:spacing w:after="0" w:line="240" w:lineRule="auto"/>
            </w:pPr>
            <w:r>
              <w:t>26137</w:t>
            </w:r>
          </w:p>
        </w:tc>
      </w:tr>
      <w:tr w:rsidR="00095719" w14:paraId="4BCCDC81" w14:textId="77777777">
        <w:trPr>
          <w:tblCellSpacing w:w="60" w:type="dxa"/>
        </w:trPr>
        <w:tc>
          <w:tcPr>
            <w:tcW w:w="1200" w:type="pct"/>
            <w:shd w:val="clear" w:color="auto" w:fill="E7F0F9"/>
          </w:tcPr>
          <w:p w14:paraId="45CA4326" w14:textId="77777777" w:rsidR="00095719" w:rsidRDefault="00A2569F">
            <w:pPr>
              <w:spacing w:after="0" w:line="240" w:lineRule="auto"/>
            </w:pPr>
            <w:r>
              <w:rPr>
                <w:b/>
              </w:rPr>
              <w:t>Naziv obveznika</w:t>
            </w:r>
          </w:p>
        </w:tc>
        <w:tc>
          <w:tcPr>
            <w:tcW w:w="0" w:type="auto"/>
            <w:shd w:val="clear" w:color="auto" w:fill="E7F0F9"/>
          </w:tcPr>
          <w:p w14:paraId="7B7ED561" w14:textId="77777777" w:rsidR="00095719" w:rsidRDefault="00A2569F">
            <w:pPr>
              <w:spacing w:after="0" w:line="240" w:lineRule="auto"/>
            </w:pPr>
            <w:r>
              <w:t>OPĆINA KLOŠTAR IVANIĆ</w:t>
            </w:r>
          </w:p>
        </w:tc>
      </w:tr>
      <w:tr w:rsidR="00095719" w14:paraId="784D3BFB" w14:textId="77777777">
        <w:trPr>
          <w:tblCellSpacing w:w="60" w:type="dxa"/>
        </w:trPr>
        <w:tc>
          <w:tcPr>
            <w:tcW w:w="1200" w:type="pct"/>
            <w:shd w:val="clear" w:color="auto" w:fill="E7F0F9"/>
          </w:tcPr>
          <w:p w14:paraId="0D341ADB" w14:textId="77777777" w:rsidR="00095719" w:rsidRDefault="00A2569F">
            <w:pPr>
              <w:spacing w:after="0" w:line="240" w:lineRule="auto"/>
            </w:pPr>
            <w:r>
              <w:rPr>
                <w:b/>
              </w:rPr>
              <w:t>Razina</w:t>
            </w:r>
          </w:p>
        </w:tc>
        <w:tc>
          <w:tcPr>
            <w:tcW w:w="0" w:type="auto"/>
            <w:shd w:val="clear" w:color="auto" w:fill="E7F0F9"/>
          </w:tcPr>
          <w:p w14:paraId="22F6FCCE" w14:textId="77777777" w:rsidR="00095719" w:rsidRDefault="00A2569F">
            <w:pPr>
              <w:spacing w:after="0" w:line="240" w:lineRule="auto"/>
            </w:pPr>
            <w:r>
              <w:t>22</w:t>
            </w:r>
          </w:p>
        </w:tc>
      </w:tr>
    </w:tbl>
    <w:p w14:paraId="46030185" w14:textId="77777777" w:rsidR="00095719" w:rsidRDefault="00A2569F">
      <w:r>
        <w:br/>
      </w:r>
    </w:p>
    <w:p w14:paraId="7C5E3689" w14:textId="77777777" w:rsidR="00095719" w:rsidRDefault="00A2569F">
      <w:pPr>
        <w:spacing w:line="240" w:lineRule="auto"/>
        <w:jc w:val="center"/>
      </w:pPr>
      <w:r>
        <w:rPr>
          <w:b/>
          <w:sz w:val="28"/>
        </w:rPr>
        <w:t>BILJEŠKE UZ FINANCIJSKE IZVJEŠTAJE</w:t>
      </w:r>
    </w:p>
    <w:p w14:paraId="455F2333" w14:textId="77777777" w:rsidR="00095719" w:rsidRDefault="00A2569F">
      <w:pPr>
        <w:spacing w:line="240" w:lineRule="auto"/>
        <w:jc w:val="center"/>
      </w:pPr>
      <w:r>
        <w:rPr>
          <w:b/>
          <w:sz w:val="28"/>
        </w:rPr>
        <w:t>ZA RAZDOBLJE</w:t>
      </w:r>
    </w:p>
    <w:p w14:paraId="6DD63810" w14:textId="77777777" w:rsidR="00095719" w:rsidRDefault="00A2569F">
      <w:pPr>
        <w:spacing w:line="240" w:lineRule="auto"/>
        <w:jc w:val="center"/>
      </w:pPr>
      <w:r>
        <w:rPr>
          <w:b/>
          <w:sz w:val="28"/>
        </w:rPr>
        <w:t>I - XII 2025.</w:t>
      </w:r>
    </w:p>
    <w:p w14:paraId="4E31A42A" w14:textId="77777777" w:rsidR="00095719" w:rsidRDefault="00095719"/>
    <w:p w14:paraId="6173BDE4" w14:textId="77777777" w:rsidR="00095719" w:rsidRDefault="00A2569F">
      <w:pPr>
        <w:keepNext/>
        <w:spacing w:line="240" w:lineRule="auto"/>
        <w:jc w:val="center"/>
      </w:pPr>
      <w:r>
        <w:rPr>
          <w:b/>
          <w:sz w:val="28"/>
        </w:rPr>
        <w:t>Izvještaj o prihodima i rashodima, primicima i izdacima</w:t>
      </w:r>
    </w:p>
    <w:p w14:paraId="3048BD7A" w14:textId="77777777" w:rsidR="00095719" w:rsidRDefault="00A2569F">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30768BFE" w14:textId="77777777">
        <w:trPr>
          <w:cantSplit/>
        </w:trPr>
        <w:tc>
          <w:tcPr>
            <w:tcW w:w="700" w:type="dxa"/>
            <w:shd w:val="clear" w:color="auto" w:fill="E7F0F9"/>
            <w:tcMar>
              <w:top w:w="0" w:type="dxa"/>
              <w:bottom w:w="0" w:type="dxa"/>
            </w:tcMar>
            <w:vAlign w:val="center"/>
          </w:tcPr>
          <w:p w14:paraId="7199CF81"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4BA6E11"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F1D52B9"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2FB6729"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1B175BA"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FFE0E46" w14:textId="77777777" w:rsidR="00095719" w:rsidRDefault="00A2569F">
            <w:pPr>
              <w:keepNext/>
              <w:keepLines/>
              <w:spacing w:after="0" w:line="240" w:lineRule="auto"/>
              <w:jc w:val="center"/>
            </w:pPr>
            <w:r>
              <w:rPr>
                <w:b/>
                <w:sz w:val="18"/>
              </w:rPr>
              <w:t>Indeks (%)</w:t>
            </w:r>
          </w:p>
        </w:tc>
      </w:tr>
      <w:tr w:rsidR="00095719" w14:paraId="45FA619D" w14:textId="77777777">
        <w:trPr>
          <w:cantSplit/>
          <w:trHeight w:val="560"/>
        </w:trPr>
        <w:tc>
          <w:tcPr>
            <w:tcW w:w="700" w:type="dxa"/>
            <w:tcMar>
              <w:top w:w="0" w:type="dxa"/>
              <w:bottom w:w="0" w:type="dxa"/>
            </w:tcMar>
            <w:vAlign w:val="center"/>
          </w:tcPr>
          <w:p w14:paraId="4EE54CB7" w14:textId="77777777" w:rsidR="00095719" w:rsidRDefault="00A2569F">
            <w:pPr>
              <w:keepNext/>
              <w:keepLines/>
              <w:spacing w:after="0" w:line="240" w:lineRule="auto"/>
            </w:pPr>
            <w:r>
              <w:rPr>
                <w:sz w:val="18"/>
              </w:rPr>
              <w:t>6</w:t>
            </w:r>
          </w:p>
        </w:tc>
        <w:tc>
          <w:tcPr>
            <w:tcW w:w="3180" w:type="dxa"/>
            <w:tcMar>
              <w:top w:w="0" w:type="dxa"/>
              <w:bottom w:w="0" w:type="dxa"/>
            </w:tcMar>
            <w:vAlign w:val="center"/>
          </w:tcPr>
          <w:p w14:paraId="4DBCE039" w14:textId="77777777" w:rsidR="00095719" w:rsidRDefault="00A2569F">
            <w:pPr>
              <w:keepNext/>
              <w:keepLines/>
              <w:spacing w:after="0" w:line="240" w:lineRule="auto"/>
            </w:pPr>
            <w:r>
              <w:rPr>
                <w:sz w:val="18"/>
              </w:rPr>
              <w:t>PRIHODI POSLOVANJA (šifre 61+62+63+64+65+66+67+68)</w:t>
            </w:r>
          </w:p>
        </w:tc>
        <w:tc>
          <w:tcPr>
            <w:tcW w:w="700" w:type="dxa"/>
            <w:tcMar>
              <w:top w:w="0" w:type="dxa"/>
              <w:bottom w:w="0" w:type="dxa"/>
            </w:tcMar>
            <w:vAlign w:val="center"/>
          </w:tcPr>
          <w:p w14:paraId="61F2B915" w14:textId="77777777" w:rsidR="00095719" w:rsidRDefault="00A2569F">
            <w:pPr>
              <w:keepNext/>
              <w:keepLines/>
              <w:spacing w:after="0" w:line="240" w:lineRule="auto"/>
            </w:pPr>
            <w:r>
              <w:rPr>
                <w:sz w:val="18"/>
              </w:rPr>
              <w:t>6</w:t>
            </w:r>
          </w:p>
        </w:tc>
        <w:tc>
          <w:tcPr>
            <w:tcW w:w="1860" w:type="dxa"/>
            <w:tcMar>
              <w:top w:w="0" w:type="dxa"/>
              <w:bottom w:w="0" w:type="dxa"/>
            </w:tcMar>
            <w:vAlign w:val="center"/>
          </w:tcPr>
          <w:p w14:paraId="37B33452" w14:textId="77777777" w:rsidR="00095719" w:rsidRDefault="00A2569F">
            <w:pPr>
              <w:keepNext/>
              <w:keepLines/>
              <w:spacing w:after="0" w:line="240" w:lineRule="auto"/>
              <w:jc w:val="right"/>
            </w:pPr>
            <w:r>
              <w:rPr>
                <w:sz w:val="18"/>
              </w:rPr>
              <w:t>5.067.239,17</w:t>
            </w:r>
          </w:p>
        </w:tc>
        <w:tc>
          <w:tcPr>
            <w:tcW w:w="1860" w:type="dxa"/>
            <w:tcMar>
              <w:top w:w="0" w:type="dxa"/>
              <w:bottom w:w="0" w:type="dxa"/>
            </w:tcMar>
            <w:vAlign w:val="center"/>
          </w:tcPr>
          <w:p w14:paraId="70EAF186" w14:textId="77777777" w:rsidR="00095719" w:rsidRDefault="00A2569F">
            <w:pPr>
              <w:keepNext/>
              <w:keepLines/>
              <w:spacing w:after="0" w:line="240" w:lineRule="auto"/>
              <w:jc w:val="right"/>
            </w:pPr>
            <w:r>
              <w:rPr>
                <w:sz w:val="18"/>
              </w:rPr>
              <w:t>5.261.720,14</w:t>
            </w:r>
          </w:p>
        </w:tc>
        <w:tc>
          <w:tcPr>
            <w:tcW w:w="700" w:type="dxa"/>
            <w:tcMar>
              <w:top w:w="0" w:type="dxa"/>
              <w:bottom w:w="0" w:type="dxa"/>
            </w:tcMar>
            <w:vAlign w:val="center"/>
          </w:tcPr>
          <w:p w14:paraId="00408351" w14:textId="77777777" w:rsidR="00095719" w:rsidRDefault="00A2569F">
            <w:pPr>
              <w:keepNext/>
              <w:keepLines/>
              <w:spacing w:after="0" w:line="240" w:lineRule="auto"/>
              <w:jc w:val="right"/>
            </w:pPr>
            <w:r>
              <w:rPr>
                <w:sz w:val="18"/>
              </w:rPr>
              <w:t>103,8</w:t>
            </w:r>
          </w:p>
        </w:tc>
      </w:tr>
      <w:tr w:rsidR="00095719" w14:paraId="088CE102" w14:textId="77777777">
        <w:trPr>
          <w:cantSplit/>
          <w:trHeight w:val="560"/>
        </w:trPr>
        <w:tc>
          <w:tcPr>
            <w:tcW w:w="700" w:type="dxa"/>
            <w:tcMar>
              <w:top w:w="0" w:type="dxa"/>
              <w:bottom w:w="0" w:type="dxa"/>
            </w:tcMar>
            <w:vAlign w:val="center"/>
          </w:tcPr>
          <w:p w14:paraId="317F9DCD" w14:textId="77777777" w:rsidR="00095719" w:rsidRDefault="00A2569F">
            <w:pPr>
              <w:keepNext/>
              <w:keepLines/>
              <w:spacing w:after="0" w:line="240" w:lineRule="auto"/>
            </w:pPr>
            <w:r>
              <w:rPr>
                <w:sz w:val="18"/>
              </w:rPr>
              <w:t>3</w:t>
            </w:r>
          </w:p>
        </w:tc>
        <w:tc>
          <w:tcPr>
            <w:tcW w:w="3180" w:type="dxa"/>
            <w:tcMar>
              <w:top w:w="0" w:type="dxa"/>
              <w:bottom w:w="0" w:type="dxa"/>
            </w:tcMar>
            <w:vAlign w:val="center"/>
          </w:tcPr>
          <w:p w14:paraId="07D59A91" w14:textId="77777777" w:rsidR="00095719" w:rsidRDefault="00A2569F">
            <w:pPr>
              <w:keepNext/>
              <w:keepLines/>
              <w:spacing w:after="0" w:line="240" w:lineRule="auto"/>
            </w:pPr>
            <w:r>
              <w:rPr>
                <w:sz w:val="18"/>
              </w:rPr>
              <w:t>RASHODI POSLOVANJA (šifre 31+32+34+35+36+37+38)</w:t>
            </w:r>
          </w:p>
        </w:tc>
        <w:tc>
          <w:tcPr>
            <w:tcW w:w="700" w:type="dxa"/>
            <w:tcMar>
              <w:top w:w="0" w:type="dxa"/>
              <w:bottom w:w="0" w:type="dxa"/>
            </w:tcMar>
            <w:vAlign w:val="center"/>
          </w:tcPr>
          <w:p w14:paraId="28975F08" w14:textId="77777777" w:rsidR="00095719" w:rsidRDefault="00A2569F">
            <w:pPr>
              <w:keepNext/>
              <w:keepLines/>
              <w:spacing w:after="0" w:line="240" w:lineRule="auto"/>
            </w:pPr>
            <w:r>
              <w:rPr>
                <w:sz w:val="18"/>
              </w:rPr>
              <w:t>3</w:t>
            </w:r>
          </w:p>
        </w:tc>
        <w:tc>
          <w:tcPr>
            <w:tcW w:w="1860" w:type="dxa"/>
            <w:tcMar>
              <w:top w:w="0" w:type="dxa"/>
              <w:bottom w:w="0" w:type="dxa"/>
            </w:tcMar>
            <w:vAlign w:val="center"/>
          </w:tcPr>
          <w:p w14:paraId="52256BC7" w14:textId="77777777" w:rsidR="00095719" w:rsidRDefault="00A2569F">
            <w:pPr>
              <w:keepNext/>
              <w:keepLines/>
              <w:spacing w:after="0" w:line="240" w:lineRule="auto"/>
              <w:jc w:val="right"/>
            </w:pPr>
            <w:r>
              <w:rPr>
                <w:sz w:val="18"/>
              </w:rPr>
              <w:t>3.365.875,22</w:t>
            </w:r>
          </w:p>
        </w:tc>
        <w:tc>
          <w:tcPr>
            <w:tcW w:w="1860" w:type="dxa"/>
            <w:tcMar>
              <w:top w:w="0" w:type="dxa"/>
              <w:bottom w:w="0" w:type="dxa"/>
            </w:tcMar>
            <w:vAlign w:val="center"/>
          </w:tcPr>
          <w:p w14:paraId="00A4A224" w14:textId="77777777" w:rsidR="00095719" w:rsidRDefault="00A2569F">
            <w:pPr>
              <w:keepNext/>
              <w:keepLines/>
              <w:spacing w:after="0" w:line="240" w:lineRule="auto"/>
              <w:jc w:val="right"/>
            </w:pPr>
            <w:r>
              <w:rPr>
                <w:sz w:val="18"/>
              </w:rPr>
              <w:t>3.668.935,02</w:t>
            </w:r>
          </w:p>
        </w:tc>
        <w:tc>
          <w:tcPr>
            <w:tcW w:w="700" w:type="dxa"/>
            <w:tcMar>
              <w:top w:w="0" w:type="dxa"/>
              <w:bottom w:w="0" w:type="dxa"/>
            </w:tcMar>
            <w:vAlign w:val="center"/>
          </w:tcPr>
          <w:p w14:paraId="46ECE152" w14:textId="77777777" w:rsidR="00095719" w:rsidRDefault="00A2569F">
            <w:pPr>
              <w:keepNext/>
              <w:keepLines/>
              <w:spacing w:after="0" w:line="240" w:lineRule="auto"/>
              <w:jc w:val="right"/>
            </w:pPr>
            <w:r>
              <w:rPr>
                <w:sz w:val="18"/>
              </w:rPr>
              <w:t>109,0</w:t>
            </w:r>
          </w:p>
        </w:tc>
      </w:tr>
      <w:tr w:rsidR="00095719" w14:paraId="2D9E2244" w14:textId="77777777">
        <w:trPr>
          <w:cantSplit/>
          <w:trHeight w:val="560"/>
        </w:trPr>
        <w:tc>
          <w:tcPr>
            <w:tcW w:w="700" w:type="dxa"/>
            <w:tcMar>
              <w:top w:w="0" w:type="dxa"/>
              <w:bottom w:w="0" w:type="dxa"/>
            </w:tcMar>
            <w:vAlign w:val="center"/>
          </w:tcPr>
          <w:p w14:paraId="1FA0BCFB" w14:textId="77777777" w:rsidR="00095719" w:rsidRDefault="00095719">
            <w:pPr>
              <w:keepNext/>
              <w:keepLines/>
              <w:spacing w:after="0" w:line="240" w:lineRule="auto"/>
            </w:pPr>
          </w:p>
        </w:tc>
        <w:tc>
          <w:tcPr>
            <w:tcW w:w="3180" w:type="dxa"/>
            <w:tcMar>
              <w:top w:w="0" w:type="dxa"/>
              <w:bottom w:w="0" w:type="dxa"/>
            </w:tcMar>
            <w:vAlign w:val="center"/>
          </w:tcPr>
          <w:p w14:paraId="747EA5F3" w14:textId="77777777" w:rsidR="00095719" w:rsidRDefault="00A2569F">
            <w:pPr>
              <w:keepNext/>
              <w:keepLines/>
              <w:spacing w:after="0" w:line="240" w:lineRule="auto"/>
            </w:pPr>
            <w:r>
              <w:rPr>
                <w:b/>
                <w:sz w:val="18"/>
              </w:rPr>
              <w:t>VIŠAK PRIHODA POSLOVANJA (šifre 6-Z005)</w:t>
            </w:r>
          </w:p>
        </w:tc>
        <w:tc>
          <w:tcPr>
            <w:tcW w:w="700" w:type="dxa"/>
            <w:tcMar>
              <w:top w:w="0" w:type="dxa"/>
              <w:bottom w:w="0" w:type="dxa"/>
            </w:tcMar>
            <w:vAlign w:val="center"/>
          </w:tcPr>
          <w:p w14:paraId="39B14108" w14:textId="77777777" w:rsidR="00095719" w:rsidRDefault="00A2569F">
            <w:pPr>
              <w:keepNext/>
              <w:keepLines/>
              <w:spacing w:after="0" w:line="240" w:lineRule="auto"/>
            </w:pPr>
            <w:r>
              <w:rPr>
                <w:b/>
                <w:sz w:val="18"/>
              </w:rPr>
              <w:t>X001</w:t>
            </w:r>
          </w:p>
        </w:tc>
        <w:tc>
          <w:tcPr>
            <w:tcW w:w="1860" w:type="dxa"/>
            <w:tcMar>
              <w:top w:w="0" w:type="dxa"/>
              <w:bottom w:w="0" w:type="dxa"/>
            </w:tcMar>
            <w:vAlign w:val="center"/>
          </w:tcPr>
          <w:p w14:paraId="60189D28" w14:textId="77777777" w:rsidR="00095719" w:rsidRDefault="00A2569F">
            <w:pPr>
              <w:keepNext/>
              <w:keepLines/>
              <w:spacing w:after="0" w:line="240" w:lineRule="auto"/>
              <w:jc w:val="right"/>
            </w:pPr>
            <w:r>
              <w:rPr>
                <w:b/>
                <w:sz w:val="18"/>
              </w:rPr>
              <w:t>1.701.363,95</w:t>
            </w:r>
          </w:p>
        </w:tc>
        <w:tc>
          <w:tcPr>
            <w:tcW w:w="1860" w:type="dxa"/>
            <w:tcMar>
              <w:top w:w="0" w:type="dxa"/>
              <w:bottom w:w="0" w:type="dxa"/>
            </w:tcMar>
            <w:vAlign w:val="center"/>
          </w:tcPr>
          <w:p w14:paraId="2B51EBC9" w14:textId="77777777" w:rsidR="00095719" w:rsidRDefault="00A2569F">
            <w:pPr>
              <w:keepNext/>
              <w:keepLines/>
              <w:spacing w:after="0" w:line="240" w:lineRule="auto"/>
              <w:jc w:val="right"/>
            </w:pPr>
            <w:r>
              <w:rPr>
                <w:b/>
                <w:sz w:val="18"/>
              </w:rPr>
              <w:t>1.592.785,12</w:t>
            </w:r>
          </w:p>
        </w:tc>
        <w:tc>
          <w:tcPr>
            <w:tcW w:w="700" w:type="dxa"/>
            <w:tcMar>
              <w:top w:w="0" w:type="dxa"/>
              <w:bottom w:w="0" w:type="dxa"/>
            </w:tcMar>
            <w:vAlign w:val="center"/>
          </w:tcPr>
          <w:p w14:paraId="00CF5936" w14:textId="77777777" w:rsidR="00095719" w:rsidRDefault="00A2569F">
            <w:pPr>
              <w:keepNext/>
              <w:keepLines/>
              <w:spacing w:after="0" w:line="240" w:lineRule="auto"/>
              <w:jc w:val="right"/>
            </w:pPr>
            <w:r>
              <w:rPr>
                <w:b/>
                <w:sz w:val="18"/>
              </w:rPr>
              <w:t>93,6</w:t>
            </w:r>
          </w:p>
        </w:tc>
      </w:tr>
      <w:tr w:rsidR="00095719" w14:paraId="738E1462" w14:textId="77777777">
        <w:trPr>
          <w:cantSplit/>
          <w:trHeight w:val="560"/>
        </w:trPr>
        <w:tc>
          <w:tcPr>
            <w:tcW w:w="700" w:type="dxa"/>
            <w:tcMar>
              <w:top w:w="0" w:type="dxa"/>
              <w:bottom w:w="0" w:type="dxa"/>
            </w:tcMar>
            <w:vAlign w:val="center"/>
          </w:tcPr>
          <w:p w14:paraId="269566A5" w14:textId="77777777" w:rsidR="00095719" w:rsidRDefault="00A2569F">
            <w:pPr>
              <w:keepNext/>
              <w:keepLines/>
              <w:spacing w:after="0" w:line="240" w:lineRule="auto"/>
            </w:pPr>
            <w:r>
              <w:rPr>
                <w:sz w:val="18"/>
              </w:rPr>
              <w:t>7</w:t>
            </w:r>
          </w:p>
        </w:tc>
        <w:tc>
          <w:tcPr>
            <w:tcW w:w="3180" w:type="dxa"/>
            <w:tcMar>
              <w:top w:w="0" w:type="dxa"/>
              <w:bottom w:w="0" w:type="dxa"/>
            </w:tcMar>
            <w:vAlign w:val="center"/>
          </w:tcPr>
          <w:p w14:paraId="4C8F820C" w14:textId="77777777" w:rsidR="00095719" w:rsidRDefault="00A2569F">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387CEE19" w14:textId="77777777" w:rsidR="00095719" w:rsidRDefault="00A2569F">
            <w:pPr>
              <w:keepNext/>
              <w:keepLines/>
              <w:spacing w:after="0" w:line="240" w:lineRule="auto"/>
            </w:pPr>
            <w:r>
              <w:rPr>
                <w:sz w:val="18"/>
              </w:rPr>
              <w:t>7</w:t>
            </w:r>
          </w:p>
        </w:tc>
        <w:tc>
          <w:tcPr>
            <w:tcW w:w="1860" w:type="dxa"/>
            <w:tcMar>
              <w:top w:w="0" w:type="dxa"/>
              <w:bottom w:w="0" w:type="dxa"/>
            </w:tcMar>
            <w:vAlign w:val="center"/>
          </w:tcPr>
          <w:p w14:paraId="2BC70E40" w14:textId="77777777" w:rsidR="00095719" w:rsidRDefault="00A2569F">
            <w:pPr>
              <w:keepNext/>
              <w:keepLines/>
              <w:spacing w:after="0" w:line="240" w:lineRule="auto"/>
              <w:jc w:val="right"/>
            </w:pPr>
            <w:r>
              <w:rPr>
                <w:sz w:val="18"/>
              </w:rPr>
              <w:t>30.959,07</w:t>
            </w:r>
          </w:p>
        </w:tc>
        <w:tc>
          <w:tcPr>
            <w:tcW w:w="1860" w:type="dxa"/>
            <w:tcMar>
              <w:top w:w="0" w:type="dxa"/>
              <w:bottom w:w="0" w:type="dxa"/>
            </w:tcMar>
            <w:vAlign w:val="center"/>
          </w:tcPr>
          <w:p w14:paraId="0E7A6693" w14:textId="77777777" w:rsidR="00095719" w:rsidRDefault="00A2569F">
            <w:pPr>
              <w:keepNext/>
              <w:keepLines/>
              <w:spacing w:after="0" w:line="240" w:lineRule="auto"/>
              <w:jc w:val="right"/>
            </w:pPr>
            <w:r>
              <w:rPr>
                <w:sz w:val="18"/>
              </w:rPr>
              <w:t>5.506,33</w:t>
            </w:r>
          </w:p>
        </w:tc>
        <w:tc>
          <w:tcPr>
            <w:tcW w:w="700" w:type="dxa"/>
            <w:tcMar>
              <w:top w:w="0" w:type="dxa"/>
              <w:bottom w:w="0" w:type="dxa"/>
            </w:tcMar>
            <w:vAlign w:val="center"/>
          </w:tcPr>
          <w:p w14:paraId="08BDC729" w14:textId="77777777" w:rsidR="00095719" w:rsidRDefault="00A2569F">
            <w:pPr>
              <w:keepNext/>
              <w:keepLines/>
              <w:spacing w:after="0" w:line="240" w:lineRule="auto"/>
              <w:jc w:val="right"/>
            </w:pPr>
            <w:r>
              <w:rPr>
                <w:sz w:val="18"/>
              </w:rPr>
              <w:t>17,8</w:t>
            </w:r>
          </w:p>
        </w:tc>
      </w:tr>
      <w:tr w:rsidR="00095719" w14:paraId="0490D265" w14:textId="77777777">
        <w:trPr>
          <w:cantSplit/>
          <w:trHeight w:val="560"/>
        </w:trPr>
        <w:tc>
          <w:tcPr>
            <w:tcW w:w="700" w:type="dxa"/>
            <w:tcMar>
              <w:top w:w="0" w:type="dxa"/>
              <w:bottom w:w="0" w:type="dxa"/>
            </w:tcMar>
            <w:vAlign w:val="center"/>
          </w:tcPr>
          <w:p w14:paraId="2CB0DF0D" w14:textId="77777777" w:rsidR="00095719" w:rsidRDefault="00A2569F">
            <w:pPr>
              <w:keepNext/>
              <w:keepLines/>
              <w:spacing w:after="0" w:line="240" w:lineRule="auto"/>
            </w:pPr>
            <w:r>
              <w:rPr>
                <w:sz w:val="18"/>
              </w:rPr>
              <w:t>4</w:t>
            </w:r>
          </w:p>
        </w:tc>
        <w:tc>
          <w:tcPr>
            <w:tcW w:w="3180" w:type="dxa"/>
            <w:tcMar>
              <w:top w:w="0" w:type="dxa"/>
              <w:bottom w:w="0" w:type="dxa"/>
            </w:tcMar>
            <w:vAlign w:val="center"/>
          </w:tcPr>
          <w:p w14:paraId="1869BB7C" w14:textId="77777777" w:rsidR="00095719" w:rsidRDefault="00A2569F">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2B4A3BA5" w14:textId="77777777" w:rsidR="00095719" w:rsidRDefault="00A2569F">
            <w:pPr>
              <w:keepNext/>
              <w:keepLines/>
              <w:spacing w:after="0" w:line="240" w:lineRule="auto"/>
            </w:pPr>
            <w:r>
              <w:rPr>
                <w:sz w:val="18"/>
              </w:rPr>
              <w:t>4</w:t>
            </w:r>
          </w:p>
        </w:tc>
        <w:tc>
          <w:tcPr>
            <w:tcW w:w="1860" w:type="dxa"/>
            <w:tcMar>
              <w:top w:w="0" w:type="dxa"/>
              <w:bottom w:w="0" w:type="dxa"/>
            </w:tcMar>
            <w:vAlign w:val="center"/>
          </w:tcPr>
          <w:p w14:paraId="59DEFA3D" w14:textId="77777777" w:rsidR="00095719" w:rsidRDefault="00A2569F">
            <w:pPr>
              <w:keepNext/>
              <w:keepLines/>
              <w:spacing w:after="0" w:line="240" w:lineRule="auto"/>
              <w:jc w:val="right"/>
            </w:pPr>
            <w:r>
              <w:rPr>
                <w:sz w:val="18"/>
              </w:rPr>
              <w:t>1.945.846,44</w:t>
            </w:r>
          </w:p>
        </w:tc>
        <w:tc>
          <w:tcPr>
            <w:tcW w:w="1860" w:type="dxa"/>
            <w:tcMar>
              <w:top w:w="0" w:type="dxa"/>
              <w:bottom w:w="0" w:type="dxa"/>
            </w:tcMar>
            <w:vAlign w:val="center"/>
          </w:tcPr>
          <w:p w14:paraId="5A32D312" w14:textId="77777777" w:rsidR="00095719" w:rsidRDefault="00A2569F">
            <w:pPr>
              <w:keepNext/>
              <w:keepLines/>
              <w:spacing w:after="0" w:line="240" w:lineRule="auto"/>
              <w:jc w:val="right"/>
            </w:pPr>
            <w:r>
              <w:rPr>
                <w:sz w:val="18"/>
              </w:rPr>
              <w:t>1.331.595,44</w:t>
            </w:r>
          </w:p>
        </w:tc>
        <w:tc>
          <w:tcPr>
            <w:tcW w:w="700" w:type="dxa"/>
            <w:tcMar>
              <w:top w:w="0" w:type="dxa"/>
              <w:bottom w:w="0" w:type="dxa"/>
            </w:tcMar>
            <w:vAlign w:val="center"/>
          </w:tcPr>
          <w:p w14:paraId="6AD83C5E" w14:textId="77777777" w:rsidR="00095719" w:rsidRDefault="00A2569F">
            <w:pPr>
              <w:keepNext/>
              <w:keepLines/>
              <w:spacing w:after="0" w:line="240" w:lineRule="auto"/>
              <w:jc w:val="right"/>
            </w:pPr>
            <w:r>
              <w:rPr>
                <w:sz w:val="18"/>
              </w:rPr>
              <w:t>68,4</w:t>
            </w:r>
          </w:p>
        </w:tc>
      </w:tr>
      <w:tr w:rsidR="00095719" w14:paraId="08CB247B" w14:textId="77777777">
        <w:trPr>
          <w:cantSplit/>
          <w:trHeight w:val="560"/>
        </w:trPr>
        <w:tc>
          <w:tcPr>
            <w:tcW w:w="700" w:type="dxa"/>
            <w:tcMar>
              <w:top w:w="0" w:type="dxa"/>
              <w:bottom w:w="0" w:type="dxa"/>
            </w:tcMar>
            <w:vAlign w:val="center"/>
          </w:tcPr>
          <w:p w14:paraId="42E42410" w14:textId="77777777" w:rsidR="00095719" w:rsidRDefault="00095719">
            <w:pPr>
              <w:keepNext/>
              <w:keepLines/>
              <w:spacing w:after="0" w:line="240" w:lineRule="auto"/>
            </w:pPr>
          </w:p>
        </w:tc>
        <w:tc>
          <w:tcPr>
            <w:tcW w:w="3180" w:type="dxa"/>
            <w:tcMar>
              <w:top w:w="0" w:type="dxa"/>
              <w:bottom w:w="0" w:type="dxa"/>
            </w:tcMar>
            <w:vAlign w:val="center"/>
          </w:tcPr>
          <w:p w14:paraId="45485C91" w14:textId="77777777" w:rsidR="00095719" w:rsidRDefault="00A2569F">
            <w:pPr>
              <w:keepNext/>
              <w:keepLines/>
              <w:spacing w:after="0" w:line="240" w:lineRule="auto"/>
            </w:pPr>
            <w:r>
              <w:rPr>
                <w:b/>
                <w:sz w:val="18"/>
              </w:rPr>
              <w:t>MANJAK PRIHODA OD NEFINANCIJSKE IMOVINE (šifre 4-7)</w:t>
            </w:r>
          </w:p>
        </w:tc>
        <w:tc>
          <w:tcPr>
            <w:tcW w:w="700" w:type="dxa"/>
            <w:tcMar>
              <w:top w:w="0" w:type="dxa"/>
              <w:bottom w:w="0" w:type="dxa"/>
            </w:tcMar>
            <w:vAlign w:val="center"/>
          </w:tcPr>
          <w:p w14:paraId="04140FF4" w14:textId="77777777" w:rsidR="00095719" w:rsidRDefault="00A2569F">
            <w:pPr>
              <w:keepNext/>
              <w:keepLines/>
              <w:spacing w:after="0" w:line="240" w:lineRule="auto"/>
            </w:pPr>
            <w:r>
              <w:rPr>
                <w:b/>
                <w:sz w:val="18"/>
              </w:rPr>
              <w:t>Y002</w:t>
            </w:r>
          </w:p>
        </w:tc>
        <w:tc>
          <w:tcPr>
            <w:tcW w:w="1860" w:type="dxa"/>
            <w:tcMar>
              <w:top w:w="0" w:type="dxa"/>
              <w:bottom w:w="0" w:type="dxa"/>
            </w:tcMar>
            <w:vAlign w:val="center"/>
          </w:tcPr>
          <w:p w14:paraId="10B4BEFD" w14:textId="77777777" w:rsidR="00095719" w:rsidRDefault="00A2569F">
            <w:pPr>
              <w:keepNext/>
              <w:keepLines/>
              <w:spacing w:after="0" w:line="240" w:lineRule="auto"/>
              <w:jc w:val="right"/>
            </w:pPr>
            <w:r>
              <w:rPr>
                <w:b/>
                <w:sz w:val="18"/>
              </w:rPr>
              <w:t>1.914.887,37</w:t>
            </w:r>
          </w:p>
        </w:tc>
        <w:tc>
          <w:tcPr>
            <w:tcW w:w="1860" w:type="dxa"/>
            <w:tcMar>
              <w:top w:w="0" w:type="dxa"/>
              <w:bottom w:w="0" w:type="dxa"/>
            </w:tcMar>
            <w:vAlign w:val="center"/>
          </w:tcPr>
          <w:p w14:paraId="010F9DFF" w14:textId="77777777" w:rsidR="00095719" w:rsidRDefault="00A2569F">
            <w:pPr>
              <w:keepNext/>
              <w:keepLines/>
              <w:spacing w:after="0" w:line="240" w:lineRule="auto"/>
              <w:jc w:val="right"/>
            </w:pPr>
            <w:r>
              <w:rPr>
                <w:b/>
                <w:sz w:val="18"/>
              </w:rPr>
              <w:t>1.326.089,11</w:t>
            </w:r>
          </w:p>
        </w:tc>
        <w:tc>
          <w:tcPr>
            <w:tcW w:w="700" w:type="dxa"/>
            <w:tcMar>
              <w:top w:w="0" w:type="dxa"/>
              <w:bottom w:w="0" w:type="dxa"/>
            </w:tcMar>
            <w:vAlign w:val="center"/>
          </w:tcPr>
          <w:p w14:paraId="4F2CE7F3" w14:textId="77777777" w:rsidR="00095719" w:rsidRDefault="00A2569F">
            <w:pPr>
              <w:keepNext/>
              <w:keepLines/>
              <w:spacing w:after="0" w:line="240" w:lineRule="auto"/>
              <w:jc w:val="right"/>
            </w:pPr>
            <w:r>
              <w:rPr>
                <w:b/>
                <w:sz w:val="18"/>
              </w:rPr>
              <w:t>69,3</w:t>
            </w:r>
          </w:p>
        </w:tc>
      </w:tr>
      <w:tr w:rsidR="00095719" w14:paraId="0FDA396C" w14:textId="77777777">
        <w:trPr>
          <w:cantSplit/>
          <w:trHeight w:val="560"/>
        </w:trPr>
        <w:tc>
          <w:tcPr>
            <w:tcW w:w="700" w:type="dxa"/>
            <w:tcMar>
              <w:top w:w="0" w:type="dxa"/>
              <w:bottom w:w="0" w:type="dxa"/>
            </w:tcMar>
            <w:vAlign w:val="center"/>
          </w:tcPr>
          <w:p w14:paraId="74434165" w14:textId="77777777" w:rsidR="00095719" w:rsidRDefault="00A2569F">
            <w:pPr>
              <w:keepNext/>
              <w:keepLines/>
              <w:spacing w:after="0" w:line="240" w:lineRule="auto"/>
            </w:pPr>
            <w:r>
              <w:rPr>
                <w:sz w:val="18"/>
              </w:rPr>
              <w:t>8</w:t>
            </w:r>
          </w:p>
        </w:tc>
        <w:tc>
          <w:tcPr>
            <w:tcW w:w="3180" w:type="dxa"/>
            <w:tcMar>
              <w:top w:w="0" w:type="dxa"/>
              <w:bottom w:w="0" w:type="dxa"/>
            </w:tcMar>
            <w:vAlign w:val="center"/>
          </w:tcPr>
          <w:p w14:paraId="5330C12B" w14:textId="77777777" w:rsidR="00095719" w:rsidRDefault="00A2569F">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106F63AB" w14:textId="77777777" w:rsidR="00095719" w:rsidRDefault="00A2569F">
            <w:pPr>
              <w:keepNext/>
              <w:keepLines/>
              <w:spacing w:after="0" w:line="240" w:lineRule="auto"/>
            </w:pPr>
            <w:r>
              <w:rPr>
                <w:sz w:val="18"/>
              </w:rPr>
              <w:t>8</w:t>
            </w:r>
          </w:p>
        </w:tc>
        <w:tc>
          <w:tcPr>
            <w:tcW w:w="1860" w:type="dxa"/>
            <w:tcMar>
              <w:top w:w="0" w:type="dxa"/>
              <w:bottom w:w="0" w:type="dxa"/>
            </w:tcMar>
            <w:vAlign w:val="center"/>
          </w:tcPr>
          <w:p w14:paraId="1C4F50D2" w14:textId="77777777" w:rsidR="00095719" w:rsidRDefault="00A2569F">
            <w:pPr>
              <w:keepNext/>
              <w:keepLines/>
              <w:spacing w:after="0" w:line="240" w:lineRule="auto"/>
              <w:jc w:val="right"/>
            </w:pPr>
            <w:r>
              <w:rPr>
                <w:sz w:val="18"/>
              </w:rPr>
              <w:t>506.090,00</w:t>
            </w:r>
          </w:p>
        </w:tc>
        <w:tc>
          <w:tcPr>
            <w:tcW w:w="1860" w:type="dxa"/>
            <w:tcMar>
              <w:top w:w="0" w:type="dxa"/>
              <w:bottom w:w="0" w:type="dxa"/>
            </w:tcMar>
            <w:vAlign w:val="center"/>
          </w:tcPr>
          <w:p w14:paraId="29DC3686" w14:textId="77777777" w:rsidR="00095719" w:rsidRDefault="00A2569F">
            <w:pPr>
              <w:keepNext/>
              <w:keepLines/>
              <w:spacing w:after="0" w:line="240" w:lineRule="auto"/>
              <w:jc w:val="right"/>
            </w:pPr>
            <w:r>
              <w:rPr>
                <w:sz w:val="18"/>
              </w:rPr>
              <w:t>507.000,00</w:t>
            </w:r>
          </w:p>
        </w:tc>
        <w:tc>
          <w:tcPr>
            <w:tcW w:w="700" w:type="dxa"/>
            <w:tcMar>
              <w:top w:w="0" w:type="dxa"/>
              <w:bottom w:w="0" w:type="dxa"/>
            </w:tcMar>
            <w:vAlign w:val="center"/>
          </w:tcPr>
          <w:p w14:paraId="002468EF" w14:textId="77777777" w:rsidR="00095719" w:rsidRDefault="00A2569F">
            <w:pPr>
              <w:keepNext/>
              <w:keepLines/>
              <w:spacing w:after="0" w:line="240" w:lineRule="auto"/>
              <w:jc w:val="right"/>
            </w:pPr>
            <w:r>
              <w:rPr>
                <w:sz w:val="18"/>
              </w:rPr>
              <w:t>100,2</w:t>
            </w:r>
          </w:p>
        </w:tc>
      </w:tr>
      <w:tr w:rsidR="00095719" w14:paraId="58B6CD67" w14:textId="77777777">
        <w:trPr>
          <w:cantSplit/>
          <w:trHeight w:val="560"/>
        </w:trPr>
        <w:tc>
          <w:tcPr>
            <w:tcW w:w="700" w:type="dxa"/>
            <w:tcMar>
              <w:top w:w="0" w:type="dxa"/>
              <w:bottom w:w="0" w:type="dxa"/>
            </w:tcMar>
            <w:vAlign w:val="center"/>
          </w:tcPr>
          <w:p w14:paraId="41D9983C" w14:textId="77777777" w:rsidR="00095719" w:rsidRDefault="00A2569F">
            <w:pPr>
              <w:keepNext/>
              <w:keepLines/>
              <w:spacing w:after="0" w:line="240" w:lineRule="auto"/>
            </w:pPr>
            <w:r>
              <w:rPr>
                <w:sz w:val="18"/>
              </w:rPr>
              <w:t>5</w:t>
            </w:r>
          </w:p>
        </w:tc>
        <w:tc>
          <w:tcPr>
            <w:tcW w:w="3180" w:type="dxa"/>
            <w:tcMar>
              <w:top w:w="0" w:type="dxa"/>
              <w:bottom w:w="0" w:type="dxa"/>
            </w:tcMar>
            <w:vAlign w:val="center"/>
          </w:tcPr>
          <w:p w14:paraId="53B22040" w14:textId="77777777" w:rsidR="00095719" w:rsidRDefault="00A2569F">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738C1D39" w14:textId="77777777" w:rsidR="00095719" w:rsidRDefault="00A2569F">
            <w:pPr>
              <w:keepNext/>
              <w:keepLines/>
              <w:spacing w:after="0" w:line="240" w:lineRule="auto"/>
            </w:pPr>
            <w:r>
              <w:rPr>
                <w:sz w:val="18"/>
              </w:rPr>
              <w:t>5</w:t>
            </w:r>
          </w:p>
        </w:tc>
        <w:tc>
          <w:tcPr>
            <w:tcW w:w="1860" w:type="dxa"/>
            <w:tcMar>
              <w:top w:w="0" w:type="dxa"/>
              <w:bottom w:w="0" w:type="dxa"/>
            </w:tcMar>
            <w:vAlign w:val="center"/>
          </w:tcPr>
          <w:p w14:paraId="614A1C13" w14:textId="77777777" w:rsidR="00095719" w:rsidRDefault="00A2569F">
            <w:pPr>
              <w:keepNext/>
              <w:keepLines/>
              <w:spacing w:after="0" w:line="240" w:lineRule="auto"/>
              <w:jc w:val="right"/>
            </w:pPr>
            <w:r>
              <w:rPr>
                <w:sz w:val="18"/>
              </w:rPr>
              <w:t>180.427,47</w:t>
            </w:r>
          </w:p>
        </w:tc>
        <w:tc>
          <w:tcPr>
            <w:tcW w:w="1860" w:type="dxa"/>
            <w:tcMar>
              <w:top w:w="0" w:type="dxa"/>
              <w:bottom w:w="0" w:type="dxa"/>
            </w:tcMar>
            <w:vAlign w:val="center"/>
          </w:tcPr>
          <w:p w14:paraId="7323F538" w14:textId="77777777" w:rsidR="00095719" w:rsidRDefault="00A2569F">
            <w:pPr>
              <w:keepNext/>
              <w:keepLines/>
              <w:spacing w:after="0" w:line="240" w:lineRule="auto"/>
              <w:jc w:val="right"/>
            </w:pPr>
            <w:r>
              <w:rPr>
                <w:sz w:val="18"/>
              </w:rPr>
              <w:t>205.515,40</w:t>
            </w:r>
          </w:p>
        </w:tc>
        <w:tc>
          <w:tcPr>
            <w:tcW w:w="700" w:type="dxa"/>
            <w:tcMar>
              <w:top w:w="0" w:type="dxa"/>
              <w:bottom w:w="0" w:type="dxa"/>
            </w:tcMar>
            <w:vAlign w:val="center"/>
          </w:tcPr>
          <w:p w14:paraId="458349E6" w14:textId="77777777" w:rsidR="00095719" w:rsidRDefault="00A2569F">
            <w:pPr>
              <w:keepNext/>
              <w:keepLines/>
              <w:spacing w:after="0" w:line="240" w:lineRule="auto"/>
              <w:jc w:val="right"/>
            </w:pPr>
            <w:r>
              <w:rPr>
                <w:sz w:val="18"/>
              </w:rPr>
              <w:t>113,9</w:t>
            </w:r>
          </w:p>
        </w:tc>
      </w:tr>
      <w:tr w:rsidR="00095719" w14:paraId="43E39729" w14:textId="77777777">
        <w:trPr>
          <w:cantSplit/>
          <w:trHeight w:val="560"/>
        </w:trPr>
        <w:tc>
          <w:tcPr>
            <w:tcW w:w="700" w:type="dxa"/>
            <w:tcMar>
              <w:top w:w="0" w:type="dxa"/>
              <w:bottom w:w="0" w:type="dxa"/>
            </w:tcMar>
            <w:vAlign w:val="center"/>
          </w:tcPr>
          <w:p w14:paraId="77F2C1E1" w14:textId="77777777" w:rsidR="00095719" w:rsidRDefault="00095719">
            <w:pPr>
              <w:keepNext/>
              <w:keepLines/>
              <w:spacing w:after="0" w:line="240" w:lineRule="auto"/>
            </w:pPr>
          </w:p>
        </w:tc>
        <w:tc>
          <w:tcPr>
            <w:tcW w:w="3180" w:type="dxa"/>
            <w:tcMar>
              <w:top w:w="0" w:type="dxa"/>
              <w:bottom w:w="0" w:type="dxa"/>
            </w:tcMar>
            <w:vAlign w:val="center"/>
          </w:tcPr>
          <w:p w14:paraId="3704D04C" w14:textId="77777777" w:rsidR="00095719" w:rsidRDefault="00A2569F">
            <w:pPr>
              <w:keepNext/>
              <w:keepLines/>
              <w:spacing w:after="0" w:line="240" w:lineRule="auto"/>
            </w:pPr>
            <w:r>
              <w:rPr>
                <w:b/>
                <w:sz w:val="18"/>
              </w:rPr>
              <w:t>VIŠAK PRIMITAKA OD FINANCIJSKE IMOVINE I ZADUŽIVANJA (šifre 8-5)</w:t>
            </w:r>
          </w:p>
        </w:tc>
        <w:tc>
          <w:tcPr>
            <w:tcW w:w="700" w:type="dxa"/>
            <w:tcMar>
              <w:top w:w="0" w:type="dxa"/>
              <w:bottom w:w="0" w:type="dxa"/>
            </w:tcMar>
            <w:vAlign w:val="center"/>
          </w:tcPr>
          <w:p w14:paraId="4EB7BB51" w14:textId="77777777" w:rsidR="00095719" w:rsidRDefault="00A2569F">
            <w:pPr>
              <w:keepNext/>
              <w:keepLines/>
              <w:spacing w:after="0" w:line="240" w:lineRule="auto"/>
            </w:pPr>
            <w:r>
              <w:rPr>
                <w:b/>
                <w:sz w:val="18"/>
              </w:rPr>
              <w:t>X003</w:t>
            </w:r>
          </w:p>
        </w:tc>
        <w:tc>
          <w:tcPr>
            <w:tcW w:w="1860" w:type="dxa"/>
            <w:tcMar>
              <w:top w:w="0" w:type="dxa"/>
              <w:bottom w:w="0" w:type="dxa"/>
            </w:tcMar>
            <w:vAlign w:val="center"/>
          </w:tcPr>
          <w:p w14:paraId="7999E5BE" w14:textId="77777777" w:rsidR="00095719" w:rsidRDefault="00A2569F">
            <w:pPr>
              <w:keepNext/>
              <w:keepLines/>
              <w:spacing w:after="0" w:line="240" w:lineRule="auto"/>
              <w:jc w:val="right"/>
            </w:pPr>
            <w:r>
              <w:rPr>
                <w:b/>
                <w:sz w:val="18"/>
              </w:rPr>
              <w:t>325.662,53</w:t>
            </w:r>
          </w:p>
        </w:tc>
        <w:tc>
          <w:tcPr>
            <w:tcW w:w="1860" w:type="dxa"/>
            <w:tcMar>
              <w:top w:w="0" w:type="dxa"/>
              <w:bottom w:w="0" w:type="dxa"/>
            </w:tcMar>
            <w:vAlign w:val="center"/>
          </w:tcPr>
          <w:p w14:paraId="200FA9A1" w14:textId="77777777" w:rsidR="00095719" w:rsidRDefault="00A2569F">
            <w:pPr>
              <w:keepNext/>
              <w:keepLines/>
              <w:spacing w:after="0" w:line="240" w:lineRule="auto"/>
              <w:jc w:val="right"/>
            </w:pPr>
            <w:r>
              <w:rPr>
                <w:b/>
                <w:sz w:val="18"/>
              </w:rPr>
              <w:t>301.484,60</w:t>
            </w:r>
          </w:p>
        </w:tc>
        <w:tc>
          <w:tcPr>
            <w:tcW w:w="700" w:type="dxa"/>
            <w:tcMar>
              <w:top w:w="0" w:type="dxa"/>
              <w:bottom w:w="0" w:type="dxa"/>
            </w:tcMar>
            <w:vAlign w:val="center"/>
          </w:tcPr>
          <w:p w14:paraId="13EB45DB" w14:textId="77777777" w:rsidR="00095719" w:rsidRDefault="00A2569F">
            <w:pPr>
              <w:keepNext/>
              <w:keepLines/>
              <w:spacing w:after="0" w:line="240" w:lineRule="auto"/>
              <w:jc w:val="right"/>
            </w:pPr>
            <w:r>
              <w:rPr>
                <w:b/>
                <w:sz w:val="18"/>
              </w:rPr>
              <w:t>92,6</w:t>
            </w:r>
          </w:p>
        </w:tc>
      </w:tr>
      <w:tr w:rsidR="00095719" w14:paraId="025364FF" w14:textId="77777777">
        <w:trPr>
          <w:cantSplit/>
          <w:trHeight w:val="560"/>
        </w:trPr>
        <w:tc>
          <w:tcPr>
            <w:tcW w:w="700" w:type="dxa"/>
            <w:tcMar>
              <w:top w:w="0" w:type="dxa"/>
              <w:bottom w:w="0" w:type="dxa"/>
            </w:tcMar>
            <w:vAlign w:val="center"/>
          </w:tcPr>
          <w:p w14:paraId="0D2AC701" w14:textId="77777777" w:rsidR="00095719" w:rsidRDefault="00095719">
            <w:pPr>
              <w:keepNext/>
              <w:keepLines/>
              <w:spacing w:after="0" w:line="240" w:lineRule="auto"/>
            </w:pPr>
          </w:p>
        </w:tc>
        <w:tc>
          <w:tcPr>
            <w:tcW w:w="3180" w:type="dxa"/>
            <w:tcMar>
              <w:top w:w="0" w:type="dxa"/>
              <w:bottom w:w="0" w:type="dxa"/>
            </w:tcMar>
            <w:vAlign w:val="center"/>
          </w:tcPr>
          <w:p w14:paraId="3D21334D" w14:textId="77777777" w:rsidR="00095719" w:rsidRDefault="00A2569F">
            <w:pPr>
              <w:keepNext/>
              <w:keepLines/>
              <w:spacing w:after="0" w:line="240" w:lineRule="auto"/>
            </w:pPr>
            <w:r>
              <w:rPr>
                <w:b/>
                <w:sz w:val="18"/>
              </w:rPr>
              <w:t>VIŠAK PRIHODA I PRIMITAKA (šifre X678-Y345)</w:t>
            </w:r>
          </w:p>
        </w:tc>
        <w:tc>
          <w:tcPr>
            <w:tcW w:w="700" w:type="dxa"/>
            <w:tcMar>
              <w:top w:w="0" w:type="dxa"/>
              <w:bottom w:w="0" w:type="dxa"/>
            </w:tcMar>
            <w:vAlign w:val="center"/>
          </w:tcPr>
          <w:p w14:paraId="3DB9E4D1" w14:textId="77777777" w:rsidR="00095719" w:rsidRDefault="00A2569F">
            <w:pPr>
              <w:keepNext/>
              <w:keepLines/>
              <w:spacing w:after="0" w:line="240" w:lineRule="auto"/>
            </w:pPr>
            <w:r>
              <w:rPr>
                <w:b/>
                <w:sz w:val="18"/>
              </w:rPr>
              <w:t>X005</w:t>
            </w:r>
          </w:p>
        </w:tc>
        <w:tc>
          <w:tcPr>
            <w:tcW w:w="1860" w:type="dxa"/>
            <w:tcMar>
              <w:top w:w="0" w:type="dxa"/>
              <w:bottom w:w="0" w:type="dxa"/>
            </w:tcMar>
            <w:vAlign w:val="center"/>
          </w:tcPr>
          <w:p w14:paraId="1F8C0995" w14:textId="77777777" w:rsidR="00095719" w:rsidRDefault="00A2569F">
            <w:pPr>
              <w:keepNext/>
              <w:keepLines/>
              <w:spacing w:after="0" w:line="240" w:lineRule="auto"/>
              <w:jc w:val="right"/>
            </w:pPr>
            <w:r>
              <w:rPr>
                <w:b/>
                <w:sz w:val="18"/>
              </w:rPr>
              <w:t>112.139,11</w:t>
            </w:r>
          </w:p>
        </w:tc>
        <w:tc>
          <w:tcPr>
            <w:tcW w:w="1860" w:type="dxa"/>
            <w:tcMar>
              <w:top w:w="0" w:type="dxa"/>
              <w:bottom w:w="0" w:type="dxa"/>
            </w:tcMar>
            <w:vAlign w:val="center"/>
          </w:tcPr>
          <w:p w14:paraId="5A5862EF" w14:textId="77777777" w:rsidR="00095719" w:rsidRDefault="00A2569F">
            <w:pPr>
              <w:keepNext/>
              <w:keepLines/>
              <w:spacing w:after="0" w:line="240" w:lineRule="auto"/>
              <w:jc w:val="right"/>
            </w:pPr>
            <w:r>
              <w:rPr>
                <w:b/>
                <w:sz w:val="18"/>
              </w:rPr>
              <w:t>568.180,61</w:t>
            </w:r>
          </w:p>
        </w:tc>
        <w:tc>
          <w:tcPr>
            <w:tcW w:w="700" w:type="dxa"/>
            <w:tcMar>
              <w:top w:w="0" w:type="dxa"/>
              <w:bottom w:w="0" w:type="dxa"/>
            </w:tcMar>
            <w:vAlign w:val="center"/>
          </w:tcPr>
          <w:p w14:paraId="0BD84172" w14:textId="77777777" w:rsidR="00095719" w:rsidRDefault="00A2569F">
            <w:pPr>
              <w:keepNext/>
              <w:keepLines/>
              <w:spacing w:after="0" w:line="240" w:lineRule="auto"/>
              <w:jc w:val="right"/>
            </w:pPr>
            <w:r>
              <w:rPr>
                <w:b/>
                <w:sz w:val="18"/>
              </w:rPr>
              <w:t>506,7</w:t>
            </w:r>
          </w:p>
        </w:tc>
      </w:tr>
    </w:tbl>
    <w:p w14:paraId="54562F0D" w14:textId="77777777" w:rsidR="00095719" w:rsidRDefault="00095719">
      <w:pPr>
        <w:spacing w:after="0"/>
      </w:pPr>
    </w:p>
    <w:p w14:paraId="0957EA35" w14:textId="77777777" w:rsidR="00095719" w:rsidRDefault="00A2569F">
      <w:r>
        <w:t>U razdoblju od 1. siječnja do 31. prosinca 2025. godine prihodi poslovanja ostvareni su u iznosu 5.261.720,14 eura. Najznačajnije povećanje prihoda poslovanja ostvareno je od prihoda od poreza na dohodak od nesamostalnog rada, poreza na dohodak od kapitala, povremenih poreza na imovinu, te prihoda po posebnim propisima. Najznačajnije smanjenje prihoda poslovanja bilježi se na prihodima od pomoći temeljem prijenosa EU sredstava.</w:t>
      </w:r>
    </w:p>
    <w:p w14:paraId="0CC0ADA0" w14:textId="77777777" w:rsidR="00095719" w:rsidRDefault="00A2569F">
      <w:r>
        <w:lastRenderedPageBreak/>
        <w:t>Rashodi od 1. siječnja do 31. prosinca ostvareni su u iznosu 3.668.935,02 eura. Najznačajnije povećanje rashoda evidentirano je na rashodima za zaposlene uslijed korištenja prava na naknadu plaće čelnika nakon prestanka obnašanja dužnosti, te uslijed zapošljavanja novog namještenika za potrebe Vlastitog pogona. Nadalje, značajno povećanje rashoda evidentirano je na prijenosima proračunskim korisnicima iz nadležnog proračuna za financiranje redovne djelatnosti budući da u 2025. godini proračunski korisnik is</w:t>
      </w:r>
      <w:r>
        <w:t>kazuje 13 rashoda za plaće i materijalna prava radnika (ukinuta su vremenska razgraničenja).</w:t>
      </w:r>
    </w:p>
    <w:p w14:paraId="56D199B5" w14:textId="77777777" w:rsidR="00095719" w:rsidRDefault="00A2569F">
      <w:r>
        <w:t>U ovom izvještajnom razdoblju ostvareni su prihodi od prodaje nefinancijske imovine u iznosu 5.506,33 eura, a odnose se na prihod od prodaje državnog poljoprivrednog zemljišta (višegodišnja otplata).</w:t>
      </w:r>
    </w:p>
    <w:p w14:paraId="420292A4" w14:textId="77777777" w:rsidR="00095719" w:rsidRDefault="00A2569F">
      <w:r>
        <w:t>Rashodi za nabavu nefinancijske imovine ostvareni su u iznosu 1.331.595,44 eura. Od toga najznačajnija ulaganja zabilježena su na poslovnim objektima (II. Dogradnja Dječjeg vrtića Proljeće) i ulaganja u ceste, željeznice i stale prometne projekte (Izvođenje radova na pješačkoj stazi u ulici Stjepana Radića, Rekonstrukcije ulice Ribnjak).</w:t>
      </w:r>
    </w:p>
    <w:p w14:paraId="77C067E7" w14:textId="77777777" w:rsidR="00095719" w:rsidRDefault="00A2569F">
      <w:r>
        <w:t>U ovom izvještajnom razdoblju ostvareni su ukupni primici od financijske imovine i zaduživanja u iznosu 507.000,00 eura, a odnose se na primljeni kredit od financijske institucije u javnom sektoru u iznosu 427.000,00 eura, a namjena je II. Dogradnja Dječjeg vrtića Proljeće, te 80.000,00 eura primljene otplate zajma danih tuzemnih trgovačkih društava (povrat zajma za financiranje repromaterijala za proljetnu sjetvu poljoprivrednicima).</w:t>
      </w:r>
    </w:p>
    <w:p w14:paraId="2B5F1051" w14:textId="77777777" w:rsidR="00095719" w:rsidRDefault="00A2569F">
      <w:r>
        <w:t>Ukupni izdaci za financijsku imovinu iznosili su 205.515,40 eura, a odnose se na otplatu glavnica dugoročnih kredita u iznosu 125.515,40 eura, te dani zajmovi tuzemnim trgovačkim društvima u iznosu 80.000,00 eura za repromaterijal za proljetnu sjetvu poljoprivrednicima.</w:t>
      </w:r>
    </w:p>
    <w:p w14:paraId="7901AF97" w14:textId="77777777" w:rsidR="00095719" w:rsidRDefault="00A2569F">
      <w:r>
        <w:t>U razdoblju od 1. siječnja do 31. prosinca ostvaren je višak prihoda poslovanja u iznosu 1.592.785,12 eura, manjak prihoda od nefinancijske imovine u iznosu 1.326.089,11 eura te višak prihoda od financijske imovine i zaduživanja, slijedom čega je na kraju izvještajnog razdoblja ostvaren ukupan višak prihoda i primitaka u iznosu 568.180,61 eura.</w:t>
      </w:r>
    </w:p>
    <w:p w14:paraId="50BA2E96" w14:textId="77777777" w:rsidR="00095719" w:rsidRDefault="00A2569F">
      <w:r>
        <w:br/>
      </w:r>
    </w:p>
    <w:p w14:paraId="119A1EB7" w14:textId="77777777" w:rsidR="00095719" w:rsidRDefault="00A2569F">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5CF0BC34" w14:textId="77777777">
        <w:trPr>
          <w:cantSplit/>
        </w:trPr>
        <w:tc>
          <w:tcPr>
            <w:tcW w:w="700" w:type="dxa"/>
            <w:shd w:val="clear" w:color="auto" w:fill="E7F0F9"/>
            <w:tcMar>
              <w:top w:w="0" w:type="dxa"/>
              <w:bottom w:w="0" w:type="dxa"/>
            </w:tcMar>
            <w:vAlign w:val="center"/>
          </w:tcPr>
          <w:p w14:paraId="60990D5F"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AA2ECDF"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7660E6B"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143C575"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FFB083F"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C7844B5" w14:textId="77777777" w:rsidR="00095719" w:rsidRDefault="00A2569F">
            <w:pPr>
              <w:keepNext/>
              <w:keepLines/>
              <w:spacing w:after="0" w:line="240" w:lineRule="auto"/>
              <w:jc w:val="center"/>
            </w:pPr>
            <w:r>
              <w:rPr>
                <w:b/>
                <w:sz w:val="18"/>
              </w:rPr>
              <w:t>Indeks (%)</w:t>
            </w:r>
          </w:p>
        </w:tc>
      </w:tr>
      <w:tr w:rsidR="00095719" w14:paraId="09A6DB78" w14:textId="77777777">
        <w:trPr>
          <w:cantSplit/>
          <w:trHeight w:val="560"/>
        </w:trPr>
        <w:tc>
          <w:tcPr>
            <w:tcW w:w="700" w:type="dxa"/>
            <w:tcMar>
              <w:top w:w="0" w:type="dxa"/>
              <w:bottom w:w="0" w:type="dxa"/>
            </w:tcMar>
            <w:vAlign w:val="center"/>
          </w:tcPr>
          <w:p w14:paraId="1A70F8D3" w14:textId="77777777" w:rsidR="00095719" w:rsidRDefault="00A2569F">
            <w:pPr>
              <w:keepNext/>
              <w:keepLines/>
              <w:spacing w:after="0" w:line="240" w:lineRule="auto"/>
            </w:pPr>
            <w:r>
              <w:rPr>
                <w:sz w:val="18"/>
              </w:rPr>
              <w:t>6111</w:t>
            </w:r>
          </w:p>
        </w:tc>
        <w:tc>
          <w:tcPr>
            <w:tcW w:w="3180" w:type="dxa"/>
            <w:tcMar>
              <w:top w:w="0" w:type="dxa"/>
              <w:bottom w:w="0" w:type="dxa"/>
            </w:tcMar>
            <w:vAlign w:val="center"/>
          </w:tcPr>
          <w:p w14:paraId="7B0679A3" w14:textId="77777777" w:rsidR="00095719" w:rsidRDefault="00A2569F">
            <w:pPr>
              <w:keepNext/>
              <w:keepLines/>
              <w:spacing w:after="0" w:line="240" w:lineRule="auto"/>
            </w:pPr>
            <w:r>
              <w:rPr>
                <w:sz w:val="18"/>
              </w:rPr>
              <w:t>Porez na dohodak od nesamostalnog rada</w:t>
            </w:r>
          </w:p>
        </w:tc>
        <w:tc>
          <w:tcPr>
            <w:tcW w:w="700" w:type="dxa"/>
            <w:tcMar>
              <w:top w:w="0" w:type="dxa"/>
              <w:bottom w:w="0" w:type="dxa"/>
            </w:tcMar>
            <w:vAlign w:val="center"/>
          </w:tcPr>
          <w:p w14:paraId="42754AE4" w14:textId="77777777" w:rsidR="00095719" w:rsidRDefault="00A2569F">
            <w:pPr>
              <w:keepNext/>
              <w:keepLines/>
              <w:spacing w:after="0" w:line="240" w:lineRule="auto"/>
            </w:pPr>
            <w:r>
              <w:rPr>
                <w:sz w:val="18"/>
              </w:rPr>
              <w:t>6111</w:t>
            </w:r>
          </w:p>
        </w:tc>
        <w:tc>
          <w:tcPr>
            <w:tcW w:w="1860" w:type="dxa"/>
            <w:tcMar>
              <w:top w:w="0" w:type="dxa"/>
              <w:bottom w:w="0" w:type="dxa"/>
            </w:tcMar>
            <w:vAlign w:val="center"/>
          </w:tcPr>
          <w:p w14:paraId="28C6DD3A" w14:textId="77777777" w:rsidR="00095719" w:rsidRDefault="00A2569F">
            <w:pPr>
              <w:keepNext/>
              <w:keepLines/>
              <w:spacing w:after="0" w:line="240" w:lineRule="auto"/>
              <w:jc w:val="right"/>
            </w:pPr>
            <w:r>
              <w:rPr>
                <w:sz w:val="18"/>
              </w:rPr>
              <w:t>2.351.669,44</w:t>
            </w:r>
          </w:p>
        </w:tc>
        <w:tc>
          <w:tcPr>
            <w:tcW w:w="1860" w:type="dxa"/>
            <w:tcMar>
              <w:top w:w="0" w:type="dxa"/>
              <w:bottom w:w="0" w:type="dxa"/>
            </w:tcMar>
            <w:vAlign w:val="center"/>
          </w:tcPr>
          <w:p w14:paraId="7021D016" w14:textId="77777777" w:rsidR="00095719" w:rsidRDefault="00A2569F">
            <w:pPr>
              <w:keepNext/>
              <w:keepLines/>
              <w:spacing w:after="0" w:line="240" w:lineRule="auto"/>
              <w:jc w:val="right"/>
            </w:pPr>
            <w:r>
              <w:rPr>
                <w:sz w:val="18"/>
              </w:rPr>
              <w:t>2.828.933,60</w:t>
            </w:r>
          </w:p>
        </w:tc>
        <w:tc>
          <w:tcPr>
            <w:tcW w:w="700" w:type="dxa"/>
            <w:tcMar>
              <w:top w:w="0" w:type="dxa"/>
              <w:bottom w:w="0" w:type="dxa"/>
            </w:tcMar>
            <w:vAlign w:val="center"/>
          </w:tcPr>
          <w:p w14:paraId="5C38C9E9" w14:textId="77777777" w:rsidR="00095719" w:rsidRDefault="00A2569F">
            <w:pPr>
              <w:keepNext/>
              <w:keepLines/>
              <w:spacing w:after="0" w:line="240" w:lineRule="auto"/>
              <w:jc w:val="right"/>
            </w:pPr>
            <w:r>
              <w:rPr>
                <w:sz w:val="18"/>
              </w:rPr>
              <w:t>120,3</w:t>
            </w:r>
          </w:p>
        </w:tc>
      </w:tr>
    </w:tbl>
    <w:p w14:paraId="613E4CAE" w14:textId="77777777" w:rsidR="00095719" w:rsidRDefault="00095719">
      <w:pPr>
        <w:spacing w:after="0"/>
      </w:pPr>
    </w:p>
    <w:p w14:paraId="2E1090FE" w14:textId="77777777" w:rsidR="00095719" w:rsidRDefault="00A2569F">
      <w:r>
        <w:t xml:space="preserve">Prihodi od poreza na dohodak od </w:t>
      </w:r>
      <w:proofErr w:type="spellStart"/>
      <w:r>
        <w:t>nesamostanog</w:t>
      </w:r>
      <w:proofErr w:type="spellEnd"/>
      <w:r>
        <w:t xml:space="preserve"> rada povećani su za 20,3% u odnosu na prethodno razdoblje zbog rasta plaća.</w:t>
      </w:r>
    </w:p>
    <w:p w14:paraId="4C973BAF" w14:textId="77777777" w:rsidR="00095719" w:rsidRDefault="00095719"/>
    <w:p w14:paraId="60D9997D" w14:textId="77777777" w:rsidR="00095719" w:rsidRDefault="00A2569F">
      <w:pPr>
        <w:keepNext/>
        <w:spacing w:line="240" w:lineRule="auto"/>
        <w:jc w:val="center"/>
      </w:pPr>
      <w:r>
        <w:rPr>
          <w:sz w:val="28"/>
        </w:rPr>
        <w:lastRenderedPageBreak/>
        <w:t>Bilješka 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27539EDA" w14:textId="77777777">
        <w:trPr>
          <w:cantSplit/>
        </w:trPr>
        <w:tc>
          <w:tcPr>
            <w:tcW w:w="700" w:type="dxa"/>
            <w:shd w:val="clear" w:color="auto" w:fill="E7F0F9"/>
            <w:tcMar>
              <w:top w:w="0" w:type="dxa"/>
              <w:bottom w:w="0" w:type="dxa"/>
            </w:tcMar>
            <w:vAlign w:val="center"/>
          </w:tcPr>
          <w:p w14:paraId="16E2465A"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1B19A6E"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57E1620"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1238AE4"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B941F52"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C828C78" w14:textId="77777777" w:rsidR="00095719" w:rsidRDefault="00A2569F">
            <w:pPr>
              <w:keepNext/>
              <w:keepLines/>
              <w:spacing w:after="0" w:line="240" w:lineRule="auto"/>
              <w:jc w:val="center"/>
            </w:pPr>
            <w:r>
              <w:rPr>
                <w:b/>
                <w:sz w:val="18"/>
              </w:rPr>
              <w:t>Indeks (%)</w:t>
            </w:r>
          </w:p>
        </w:tc>
      </w:tr>
      <w:tr w:rsidR="00095719" w14:paraId="2EDF7795" w14:textId="77777777">
        <w:trPr>
          <w:cantSplit/>
          <w:trHeight w:val="560"/>
        </w:trPr>
        <w:tc>
          <w:tcPr>
            <w:tcW w:w="700" w:type="dxa"/>
            <w:tcMar>
              <w:top w:w="0" w:type="dxa"/>
              <w:bottom w:w="0" w:type="dxa"/>
            </w:tcMar>
            <w:vAlign w:val="center"/>
          </w:tcPr>
          <w:p w14:paraId="4E01E111" w14:textId="77777777" w:rsidR="00095719" w:rsidRDefault="00A2569F">
            <w:pPr>
              <w:keepNext/>
              <w:keepLines/>
              <w:spacing w:after="0" w:line="240" w:lineRule="auto"/>
            </w:pPr>
            <w:r>
              <w:rPr>
                <w:sz w:val="18"/>
              </w:rPr>
              <w:t>6131</w:t>
            </w:r>
          </w:p>
        </w:tc>
        <w:tc>
          <w:tcPr>
            <w:tcW w:w="3180" w:type="dxa"/>
            <w:tcMar>
              <w:top w:w="0" w:type="dxa"/>
              <w:bottom w:w="0" w:type="dxa"/>
            </w:tcMar>
            <w:vAlign w:val="center"/>
          </w:tcPr>
          <w:p w14:paraId="39243B24" w14:textId="77777777" w:rsidR="00095719" w:rsidRDefault="00A2569F">
            <w:pPr>
              <w:keepNext/>
              <w:keepLines/>
              <w:spacing w:after="0" w:line="240" w:lineRule="auto"/>
            </w:pPr>
            <w:r>
              <w:rPr>
                <w:sz w:val="18"/>
              </w:rPr>
              <w:t>Stalni porezi na nepokretnu imovinu (zemlju, zgrade, kuće i ostalo)</w:t>
            </w:r>
          </w:p>
        </w:tc>
        <w:tc>
          <w:tcPr>
            <w:tcW w:w="700" w:type="dxa"/>
            <w:tcMar>
              <w:top w:w="0" w:type="dxa"/>
              <w:bottom w:w="0" w:type="dxa"/>
            </w:tcMar>
            <w:vAlign w:val="center"/>
          </w:tcPr>
          <w:p w14:paraId="3DFDB87C" w14:textId="77777777" w:rsidR="00095719" w:rsidRDefault="00A2569F">
            <w:pPr>
              <w:keepNext/>
              <w:keepLines/>
              <w:spacing w:after="0" w:line="240" w:lineRule="auto"/>
            </w:pPr>
            <w:r>
              <w:rPr>
                <w:sz w:val="18"/>
              </w:rPr>
              <w:t>6131</w:t>
            </w:r>
          </w:p>
        </w:tc>
        <w:tc>
          <w:tcPr>
            <w:tcW w:w="1860" w:type="dxa"/>
            <w:tcMar>
              <w:top w:w="0" w:type="dxa"/>
              <w:bottom w:w="0" w:type="dxa"/>
            </w:tcMar>
            <w:vAlign w:val="center"/>
          </w:tcPr>
          <w:p w14:paraId="499B2FCF" w14:textId="77777777" w:rsidR="00095719" w:rsidRDefault="00A2569F">
            <w:pPr>
              <w:keepNext/>
              <w:keepLines/>
              <w:spacing w:after="0" w:line="240" w:lineRule="auto"/>
              <w:jc w:val="right"/>
            </w:pPr>
            <w:r>
              <w:rPr>
                <w:sz w:val="18"/>
              </w:rPr>
              <w:t>22.339,16</w:t>
            </w:r>
          </w:p>
        </w:tc>
        <w:tc>
          <w:tcPr>
            <w:tcW w:w="1860" w:type="dxa"/>
            <w:tcMar>
              <w:top w:w="0" w:type="dxa"/>
              <w:bottom w:w="0" w:type="dxa"/>
            </w:tcMar>
            <w:vAlign w:val="center"/>
          </w:tcPr>
          <w:p w14:paraId="6185EBF8" w14:textId="77777777" w:rsidR="00095719" w:rsidRDefault="00A2569F">
            <w:pPr>
              <w:keepNext/>
              <w:keepLines/>
              <w:spacing w:after="0" w:line="240" w:lineRule="auto"/>
              <w:jc w:val="right"/>
            </w:pPr>
            <w:r>
              <w:rPr>
                <w:sz w:val="18"/>
              </w:rPr>
              <w:t>26.620,16</w:t>
            </w:r>
          </w:p>
        </w:tc>
        <w:tc>
          <w:tcPr>
            <w:tcW w:w="700" w:type="dxa"/>
            <w:tcMar>
              <w:top w:w="0" w:type="dxa"/>
              <w:bottom w:w="0" w:type="dxa"/>
            </w:tcMar>
            <w:vAlign w:val="center"/>
          </w:tcPr>
          <w:p w14:paraId="69BA65C7" w14:textId="77777777" w:rsidR="00095719" w:rsidRDefault="00A2569F">
            <w:pPr>
              <w:keepNext/>
              <w:keepLines/>
              <w:spacing w:after="0" w:line="240" w:lineRule="auto"/>
              <w:jc w:val="right"/>
            </w:pPr>
            <w:r>
              <w:rPr>
                <w:sz w:val="18"/>
              </w:rPr>
              <w:t>119,2</w:t>
            </w:r>
          </w:p>
        </w:tc>
      </w:tr>
    </w:tbl>
    <w:p w14:paraId="4DFB655F" w14:textId="77777777" w:rsidR="00095719" w:rsidRDefault="00095719">
      <w:pPr>
        <w:spacing w:after="0"/>
      </w:pPr>
    </w:p>
    <w:p w14:paraId="406CC9F9" w14:textId="77777777" w:rsidR="00095719" w:rsidRDefault="00A2569F">
      <w:r>
        <w:t>Povremeni porezi na imovinu rasli su za 19,2% u odnosu na prethodno razdoblje. U 2025. godini prihodi od poreza na nekretnine iznosili su 23.114,48 eura, a od poreza na kuće za odmor 3.505,68 eura.</w:t>
      </w:r>
    </w:p>
    <w:p w14:paraId="288D34D8" w14:textId="77777777" w:rsidR="00095719" w:rsidRDefault="00095719"/>
    <w:p w14:paraId="4C30FEB6" w14:textId="77777777" w:rsidR="00095719" w:rsidRDefault="00A2569F">
      <w:pPr>
        <w:keepNext/>
        <w:spacing w:line="240" w:lineRule="auto"/>
        <w:jc w:val="center"/>
      </w:pPr>
      <w:r>
        <w:rPr>
          <w:sz w:val="28"/>
        </w:rPr>
        <w:t>Bilješka 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42506077" w14:textId="77777777">
        <w:trPr>
          <w:cantSplit/>
        </w:trPr>
        <w:tc>
          <w:tcPr>
            <w:tcW w:w="700" w:type="dxa"/>
            <w:shd w:val="clear" w:color="auto" w:fill="E7F0F9"/>
            <w:tcMar>
              <w:top w:w="0" w:type="dxa"/>
              <w:bottom w:w="0" w:type="dxa"/>
            </w:tcMar>
            <w:vAlign w:val="center"/>
          </w:tcPr>
          <w:p w14:paraId="0EA86775"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D95B716"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39DC10D"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603E583"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E88D1F9"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1EBE8D7" w14:textId="77777777" w:rsidR="00095719" w:rsidRDefault="00A2569F">
            <w:pPr>
              <w:keepNext/>
              <w:keepLines/>
              <w:spacing w:after="0" w:line="240" w:lineRule="auto"/>
              <w:jc w:val="center"/>
            </w:pPr>
            <w:r>
              <w:rPr>
                <w:b/>
                <w:sz w:val="18"/>
              </w:rPr>
              <w:t>Indeks (%)</w:t>
            </w:r>
          </w:p>
        </w:tc>
      </w:tr>
      <w:tr w:rsidR="00095719" w14:paraId="5554CCDB" w14:textId="77777777">
        <w:trPr>
          <w:cantSplit/>
          <w:trHeight w:val="560"/>
        </w:trPr>
        <w:tc>
          <w:tcPr>
            <w:tcW w:w="700" w:type="dxa"/>
            <w:tcMar>
              <w:top w:w="0" w:type="dxa"/>
              <w:bottom w:w="0" w:type="dxa"/>
            </w:tcMar>
            <w:vAlign w:val="center"/>
          </w:tcPr>
          <w:p w14:paraId="20917F56" w14:textId="77777777" w:rsidR="00095719" w:rsidRDefault="00A2569F">
            <w:pPr>
              <w:keepNext/>
              <w:keepLines/>
              <w:spacing w:after="0" w:line="240" w:lineRule="auto"/>
            </w:pPr>
            <w:r>
              <w:rPr>
                <w:sz w:val="18"/>
              </w:rPr>
              <w:t>6134</w:t>
            </w:r>
          </w:p>
        </w:tc>
        <w:tc>
          <w:tcPr>
            <w:tcW w:w="3180" w:type="dxa"/>
            <w:tcMar>
              <w:top w:w="0" w:type="dxa"/>
              <w:bottom w:w="0" w:type="dxa"/>
            </w:tcMar>
            <w:vAlign w:val="center"/>
          </w:tcPr>
          <w:p w14:paraId="08CED25F" w14:textId="77777777" w:rsidR="00095719" w:rsidRDefault="00A2569F">
            <w:pPr>
              <w:keepNext/>
              <w:keepLines/>
              <w:spacing w:after="0" w:line="240" w:lineRule="auto"/>
            </w:pPr>
            <w:r>
              <w:rPr>
                <w:sz w:val="18"/>
              </w:rPr>
              <w:t>Povremeni porezi na imovinu</w:t>
            </w:r>
          </w:p>
        </w:tc>
        <w:tc>
          <w:tcPr>
            <w:tcW w:w="700" w:type="dxa"/>
            <w:tcMar>
              <w:top w:w="0" w:type="dxa"/>
              <w:bottom w:w="0" w:type="dxa"/>
            </w:tcMar>
            <w:vAlign w:val="center"/>
          </w:tcPr>
          <w:p w14:paraId="01694EF9" w14:textId="77777777" w:rsidR="00095719" w:rsidRDefault="00A2569F">
            <w:pPr>
              <w:keepNext/>
              <w:keepLines/>
              <w:spacing w:after="0" w:line="240" w:lineRule="auto"/>
            </w:pPr>
            <w:r>
              <w:rPr>
                <w:sz w:val="18"/>
              </w:rPr>
              <w:t>6134</w:t>
            </w:r>
          </w:p>
        </w:tc>
        <w:tc>
          <w:tcPr>
            <w:tcW w:w="1860" w:type="dxa"/>
            <w:tcMar>
              <w:top w:w="0" w:type="dxa"/>
              <w:bottom w:w="0" w:type="dxa"/>
            </w:tcMar>
            <w:vAlign w:val="center"/>
          </w:tcPr>
          <w:p w14:paraId="40074C5F" w14:textId="77777777" w:rsidR="00095719" w:rsidRDefault="00A2569F">
            <w:pPr>
              <w:keepNext/>
              <w:keepLines/>
              <w:spacing w:after="0" w:line="240" w:lineRule="auto"/>
              <w:jc w:val="right"/>
            </w:pPr>
            <w:r>
              <w:rPr>
                <w:sz w:val="18"/>
              </w:rPr>
              <w:t>110.961,18</w:t>
            </w:r>
          </w:p>
        </w:tc>
        <w:tc>
          <w:tcPr>
            <w:tcW w:w="1860" w:type="dxa"/>
            <w:tcMar>
              <w:top w:w="0" w:type="dxa"/>
              <w:bottom w:w="0" w:type="dxa"/>
            </w:tcMar>
            <w:vAlign w:val="center"/>
          </w:tcPr>
          <w:p w14:paraId="7309AEE7" w14:textId="77777777" w:rsidR="00095719" w:rsidRDefault="00A2569F">
            <w:pPr>
              <w:keepNext/>
              <w:keepLines/>
              <w:spacing w:after="0" w:line="240" w:lineRule="auto"/>
              <w:jc w:val="right"/>
            </w:pPr>
            <w:r>
              <w:rPr>
                <w:sz w:val="18"/>
              </w:rPr>
              <w:t>120.227,52</w:t>
            </w:r>
          </w:p>
        </w:tc>
        <w:tc>
          <w:tcPr>
            <w:tcW w:w="700" w:type="dxa"/>
            <w:tcMar>
              <w:top w:w="0" w:type="dxa"/>
              <w:bottom w:w="0" w:type="dxa"/>
            </w:tcMar>
            <w:vAlign w:val="center"/>
          </w:tcPr>
          <w:p w14:paraId="5587C9C7" w14:textId="77777777" w:rsidR="00095719" w:rsidRDefault="00A2569F">
            <w:pPr>
              <w:keepNext/>
              <w:keepLines/>
              <w:spacing w:after="0" w:line="240" w:lineRule="auto"/>
              <w:jc w:val="right"/>
            </w:pPr>
            <w:r>
              <w:rPr>
                <w:sz w:val="18"/>
              </w:rPr>
              <w:t>108,4</w:t>
            </w:r>
          </w:p>
        </w:tc>
      </w:tr>
    </w:tbl>
    <w:p w14:paraId="3143C72D" w14:textId="77777777" w:rsidR="00095719" w:rsidRDefault="00095719">
      <w:pPr>
        <w:spacing w:after="0"/>
      </w:pPr>
    </w:p>
    <w:p w14:paraId="103CC61E" w14:textId="77777777" w:rsidR="00095719" w:rsidRDefault="00A2569F">
      <w:r>
        <w:t>Povremeni porezi na imovinu rasli su 8,4% u odnosu na prethodno razdoblje uslijed povećanog broja kupoprodaje imovine na našem području.</w:t>
      </w:r>
    </w:p>
    <w:p w14:paraId="06892C4B" w14:textId="77777777" w:rsidR="00095719" w:rsidRDefault="00095719"/>
    <w:p w14:paraId="5774DFFC" w14:textId="77777777" w:rsidR="00095719" w:rsidRDefault="00A2569F">
      <w:pPr>
        <w:keepNext/>
        <w:spacing w:line="240" w:lineRule="auto"/>
        <w:jc w:val="center"/>
      </w:pPr>
      <w:r>
        <w:rPr>
          <w:sz w:val="28"/>
        </w:rPr>
        <w:t>Bilješka 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2EF5247E" w14:textId="77777777">
        <w:trPr>
          <w:cantSplit/>
        </w:trPr>
        <w:tc>
          <w:tcPr>
            <w:tcW w:w="700" w:type="dxa"/>
            <w:shd w:val="clear" w:color="auto" w:fill="E7F0F9"/>
            <w:tcMar>
              <w:top w:w="0" w:type="dxa"/>
              <w:bottom w:w="0" w:type="dxa"/>
            </w:tcMar>
            <w:vAlign w:val="center"/>
          </w:tcPr>
          <w:p w14:paraId="39C19CDD"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3ABADB7"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C3420BD"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6D8FC00"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D488A40"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2ECBC00" w14:textId="77777777" w:rsidR="00095719" w:rsidRDefault="00A2569F">
            <w:pPr>
              <w:keepNext/>
              <w:keepLines/>
              <w:spacing w:after="0" w:line="240" w:lineRule="auto"/>
              <w:jc w:val="center"/>
            </w:pPr>
            <w:r>
              <w:rPr>
                <w:b/>
                <w:sz w:val="18"/>
              </w:rPr>
              <w:t>Indeks (%)</w:t>
            </w:r>
          </w:p>
        </w:tc>
      </w:tr>
      <w:tr w:rsidR="00095719" w14:paraId="6E1F786D" w14:textId="77777777">
        <w:trPr>
          <w:cantSplit/>
          <w:trHeight w:val="560"/>
        </w:trPr>
        <w:tc>
          <w:tcPr>
            <w:tcW w:w="700" w:type="dxa"/>
            <w:tcMar>
              <w:top w:w="0" w:type="dxa"/>
              <w:bottom w:w="0" w:type="dxa"/>
            </w:tcMar>
            <w:vAlign w:val="center"/>
          </w:tcPr>
          <w:p w14:paraId="0D85BD1C" w14:textId="77777777" w:rsidR="00095719" w:rsidRDefault="00A2569F">
            <w:pPr>
              <w:keepNext/>
              <w:keepLines/>
              <w:spacing w:after="0" w:line="240" w:lineRule="auto"/>
            </w:pPr>
            <w:r>
              <w:rPr>
                <w:sz w:val="18"/>
              </w:rPr>
              <w:t>6524</w:t>
            </w:r>
          </w:p>
        </w:tc>
        <w:tc>
          <w:tcPr>
            <w:tcW w:w="3180" w:type="dxa"/>
            <w:tcMar>
              <w:top w:w="0" w:type="dxa"/>
              <w:bottom w:w="0" w:type="dxa"/>
            </w:tcMar>
            <w:vAlign w:val="center"/>
          </w:tcPr>
          <w:p w14:paraId="5EB48BA6" w14:textId="77777777" w:rsidR="00095719" w:rsidRDefault="00A2569F">
            <w:pPr>
              <w:keepNext/>
              <w:keepLines/>
              <w:spacing w:after="0" w:line="240" w:lineRule="auto"/>
            </w:pPr>
            <w:r>
              <w:rPr>
                <w:sz w:val="18"/>
              </w:rPr>
              <w:t>Doprinosi za šume</w:t>
            </w:r>
          </w:p>
        </w:tc>
        <w:tc>
          <w:tcPr>
            <w:tcW w:w="700" w:type="dxa"/>
            <w:tcMar>
              <w:top w:w="0" w:type="dxa"/>
              <w:bottom w:w="0" w:type="dxa"/>
            </w:tcMar>
            <w:vAlign w:val="center"/>
          </w:tcPr>
          <w:p w14:paraId="4F5E4D26" w14:textId="77777777" w:rsidR="00095719" w:rsidRDefault="00A2569F">
            <w:pPr>
              <w:keepNext/>
              <w:keepLines/>
              <w:spacing w:after="0" w:line="240" w:lineRule="auto"/>
            </w:pPr>
            <w:r>
              <w:rPr>
                <w:sz w:val="18"/>
              </w:rPr>
              <w:t>6524</w:t>
            </w:r>
          </w:p>
        </w:tc>
        <w:tc>
          <w:tcPr>
            <w:tcW w:w="1860" w:type="dxa"/>
            <w:tcMar>
              <w:top w:w="0" w:type="dxa"/>
              <w:bottom w:w="0" w:type="dxa"/>
            </w:tcMar>
            <w:vAlign w:val="center"/>
          </w:tcPr>
          <w:p w14:paraId="6FC28F95" w14:textId="77777777" w:rsidR="00095719" w:rsidRDefault="00A2569F">
            <w:pPr>
              <w:keepNext/>
              <w:keepLines/>
              <w:spacing w:after="0" w:line="240" w:lineRule="auto"/>
              <w:jc w:val="right"/>
            </w:pPr>
            <w:r>
              <w:rPr>
                <w:sz w:val="18"/>
              </w:rPr>
              <w:t>18.929,50</w:t>
            </w:r>
          </w:p>
        </w:tc>
        <w:tc>
          <w:tcPr>
            <w:tcW w:w="1860" w:type="dxa"/>
            <w:tcMar>
              <w:top w:w="0" w:type="dxa"/>
              <w:bottom w:w="0" w:type="dxa"/>
            </w:tcMar>
            <w:vAlign w:val="center"/>
          </w:tcPr>
          <w:p w14:paraId="160B2CBC" w14:textId="77777777" w:rsidR="00095719" w:rsidRDefault="00A2569F">
            <w:pPr>
              <w:keepNext/>
              <w:keepLines/>
              <w:spacing w:after="0" w:line="240" w:lineRule="auto"/>
              <w:jc w:val="right"/>
            </w:pPr>
            <w:r>
              <w:rPr>
                <w:sz w:val="18"/>
              </w:rPr>
              <w:t>80.053,73</w:t>
            </w:r>
          </w:p>
        </w:tc>
        <w:tc>
          <w:tcPr>
            <w:tcW w:w="700" w:type="dxa"/>
            <w:tcMar>
              <w:top w:w="0" w:type="dxa"/>
              <w:bottom w:w="0" w:type="dxa"/>
            </w:tcMar>
            <w:vAlign w:val="center"/>
          </w:tcPr>
          <w:p w14:paraId="45BFE776" w14:textId="77777777" w:rsidR="00095719" w:rsidRDefault="00A2569F">
            <w:pPr>
              <w:keepNext/>
              <w:keepLines/>
              <w:spacing w:after="0" w:line="240" w:lineRule="auto"/>
              <w:jc w:val="right"/>
            </w:pPr>
            <w:r>
              <w:rPr>
                <w:sz w:val="18"/>
              </w:rPr>
              <w:t>422,9</w:t>
            </w:r>
          </w:p>
        </w:tc>
      </w:tr>
    </w:tbl>
    <w:p w14:paraId="485BD047" w14:textId="77777777" w:rsidR="00095719" w:rsidRDefault="00095719">
      <w:pPr>
        <w:spacing w:after="0"/>
      </w:pPr>
    </w:p>
    <w:p w14:paraId="0552162D" w14:textId="77777777" w:rsidR="00095719" w:rsidRDefault="00A2569F">
      <w:r>
        <w:t>Prihod od doprinosa za šume veći je za 322,9% u odnosu na prethodnu godinu, a do povećanja je došlo uslijed pojačane eksploatacije šuma na našem području.</w:t>
      </w:r>
    </w:p>
    <w:p w14:paraId="392982C8" w14:textId="77777777" w:rsidR="00095719" w:rsidRDefault="00095719"/>
    <w:p w14:paraId="088B029C" w14:textId="77777777" w:rsidR="00095719" w:rsidRDefault="00A2569F">
      <w:pPr>
        <w:keepNext/>
        <w:spacing w:line="240" w:lineRule="auto"/>
        <w:jc w:val="center"/>
      </w:pPr>
      <w:r>
        <w:rPr>
          <w:sz w:val="28"/>
        </w:rPr>
        <w:t>Bilješka 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589E3AF9" w14:textId="77777777">
        <w:trPr>
          <w:cantSplit/>
        </w:trPr>
        <w:tc>
          <w:tcPr>
            <w:tcW w:w="700" w:type="dxa"/>
            <w:shd w:val="clear" w:color="auto" w:fill="E7F0F9"/>
            <w:tcMar>
              <w:top w:w="0" w:type="dxa"/>
              <w:bottom w:w="0" w:type="dxa"/>
            </w:tcMar>
            <w:vAlign w:val="center"/>
          </w:tcPr>
          <w:p w14:paraId="57EFC6E1"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4AD8606"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FFB5751"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8518EAC"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BDB4AEE"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6D65C43" w14:textId="77777777" w:rsidR="00095719" w:rsidRDefault="00A2569F">
            <w:pPr>
              <w:keepNext/>
              <w:keepLines/>
              <w:spacing w:after="0" w:line="240" w:lineRule="auto"/>
              <w:jc w:val="center"/>
            </w:pPr>
            <w:r>
              <w:rPr>
                <w:b/>
                <w:sz w:val="18"/>
              </w:rPr>
              <w:t>Indeks (%)</w:t>
            </w:r>
          </w:p>
        </w:tc>
      </w:tr>
      <w:tr w:rsidR="00095719" w14:paraId="7456C9F0" w14:textId="77777777">
        <w:trPr>
          <w:cantSplit/>
          <w:trHeight w:val="560"/>
        </w:trPr>
        <w:tc>
          <w:tcPr>
            <w:tcW w:w="700" w:type="dxa"/>
            <w:tcMar>
              <w:top w:w="0" w:type="dxa"/>
              <w:bottom w:w="0" w:type="dxa"/>
            </w:tcMar>
            <w:vAlign w:val="center"/>
          </w:tcPr>
          <w:p w14:paraId="49494AFB" w14:textId="77777777" w:rsidR="00095719" w:rsidRDefault="00A2569F">
            <w:pPr>
              <w:keepNext/>
              <w:keepLines/>
              <w:spacing w:after="0" w:line="240" w:lineRule="auto"/>
            </w:pPr>
            <w:r>
              <w:rPr>
                <w:sz w:val="18"/>
              </w:rPr>
              <w:t>3111</w:t>
            </w:r>
          </w:p>
        </w:tc>
        <w:tc>
          <w:tcPr>
            <w:tcW w:w="3180" w:type="dxa"/>
            <w:tcMar>
              <w:top w:w="0" w:type="dxa"/>
              <w:bottom w:w="0" w:type="dxa"/>
            </w:tcMar>
            <w:vAlign w:val="center"/>
          </w:tcPr>
          <w:p w14:paraId="1BCE67F0" w14:textId="77777777" w:rsidR="00095719" w:rsidRDefault="00A2569F">
            <w:pPr>
              <w:keepNext/>
              <w:keepLines/>
              <w:spacing w:after="0" w:line="240" w:lineRule="auto"/>
            </w:pPr>
            <w:r>
              <w:rPr>
                <w:sz w:val="18"/>
              </w:rPr>
              <w:t>Plaće za redovan rad</w:t>
            </w:r>
          </w:p>
        </w:tc>
        <w:tc>
          <w:tcPr>
            <w:tcW w:w="700" w:type="dxa"/>
            <w:tcMar>
              <w:top w:w="0" w:type="dxa"/>
              <w:bottom w:w="0" w:type="dxa"/>
            </w:tcMar>
            <w:vAlign w:val="center"/>
          </w:tcPr>
          <w:p w14:paraId="5876131D" w14:textId="77777777" w:rsidR="00095719" w:rsidRDefault="00A2569F">
            <w:pPr>
              <w:keepNext/>
              <w:keepLines/>
              <w:spacing w:after="0" w:line="240" w:lineRule="auto"/>
            </w:pPr>
            <w:r>
              <w:rPr>
                <w:sz w:val="18"/>
              </w:rPr>
              <w:t>3111</w:t>
            </w:r>
          </w:p>
        </w:tc>
        <w:tc>
          <w:tcPr>
            <w:tcW w:w="1860" w:type="dxa"/>
            <w:tcMar>
              <w:top w:w="0" w:type="dxa"/>
              <w:bottom w:w="0" w:type="dxa"/>
            </w:tcMar>
            <w:vAlign w:val="center"/>
          </w:tcPr>
          <w:p w14:paraId="44C830D4" w14:textId="77777777" w:rsidR="00095719" w:rsidRDefault="00A2569F">
            <w:pPr>
              <w:keepNext/>
              <w:keepLines/>
              <w:spacing w:after="0" w:line="240" w:lineRule="auto"/>
              <w:jc w:val="right"/>
            </w:pPr>
            <w:r>
              <w:rPr>
                <w:sz w:val="18"/>
              </w:rPr>
              <w:t>361.764,24</w:t>
            </w:r>
          </w:p>
        </w:tc>
        <w:tc>
          <w:tcPr>
            <w:tcW w:w="1860" w:type="dxa"/>
            <w:tcMar>
              <w:top w:w="0" w:type="dxa"/>
              <w:bottom w:w="0" w:type="dxa"/>
            </w:tcMar>
            <w:vAlign w:val="center"/>
          </w:tcPr>
          <w:p w14:paraId="4F060111" w14:textId="77777777" w:rsidR="00095719" w:rsidRDefault="00A2569F">
            <w:pPr>
              <w:keepNext/>
              <w:keepLines/>
              <w:spacing w:after="0" w:line="240" w:lineRule="auto"/>
              <w:jc w:val="right"/>
            </w:pPr>
            <w:r>
              <w:rPr>
                <w:sz w:val="18"/>
              </w:rPr>
              <w:t>481.752,86</w:t>
            </w:r>
          </w:p>
        </w:tc>
        <w:tc>
          <w:tcPr>
            <w:tcW w:w="700" w:type="dxa"/>
            <w:tcMar>
              <w:top w:w="0" w:type="dxa"/>
              <w:bottom w:w="0" w:type="dxa"/>
            </w:tcMar>
            <w:vAlign w:val="center"/>
          </w:tcPr>
          <w:p w14:paraId="3463D107" w14:textId="77777777" w:rsidR="00095719" w:rsidRDefault="00A2569F">
            <w:pPr>
              <w:keepNext/>
              <w:keepLines/>
              <w:spacing w:after="0" w:line="240" w:lineRule="auto"/>
              <w:jc w:val="right"/>
            </w:pPr>
            <w:r>
              <w:rPr>
                <w:sz w:val="18"/>
              </w:rPr>
              <w:t>133,2</w:t>
            </w:r>
          </w:p>
        </w:tc>
      </w:tr>
    </w:tbl>
    <w:p w14:paraId="408DF892" w14:textId="77777777" w:rsidR="00095719" w:rsidRDefault="00095719">
      <w:pPr>
        <w:spacing w:after="0"/>
      </w:pPr>
    </w:p>
    <w:p w14:paraId="2185C099" w14:textId="77777777" w:rsidR="00095719" w:rsidRDefault="00A2569F">
      <w:r>
        <w:t>Plaće za redovan rad povećane su za 33,2% u odnosu na isto razdoblje prethodne godine. Do povećanja je došlo uslijed zapošljavanja novog namještenika za potrebe Vlastitog pogona, te isplate naknade plaće čelniku nakon prestanka obnašanja dužnosti.</w:t>
      </w:r>
    </w:p>
    <w:p w14:paraId="233A72F8" w14:textId="77777777" w:rsidR="00095719" w:rsidRDefault="00095719"/>
    <w:p w14:paraId="14594F37" w14:textId="77777777" w:rsidR="00095719" w:rsidRDefault="00A2569F">
      <w:pPr>
        <w:keepNext/>
        <w:spacing w:line="240" w:lineRule="auto"/>
        <w:jc w:val="center"/>
      </w:pPr>
      <w:r>
        <w:rPr>
          <w:sz w:val="28"/>
        </w:rPr>
        <w:lastRenderedPageBreak/>
        <w:t>Bilješka 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2598008A" w14:textId="77777777">
        <w:trPr>
          <w:cantSplit/>
        </w:trPr>
        <w:tc>
          <w:tcPr>
            <w:tcW w:w="700" w:type="dxa"/>
            <w:shd w:val="clear" w:color="auto" w:fill="E7F0F9"/>
            <w:tcMar>
              <w:top w:w="0" w:type="dxa"/>
              <w:bottom w:w="0" w:type="dxa"/>
            </w:tcMar>
            <w:vAlign w:val="center"/>
          </w:tcPr>
          <w:p w14:paraId="4140B085"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9C0B95A"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193A623"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8594A88"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48D17A0"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3D03542" w14:textId="77777777" w:rsidR="00095719" w:rsidRDefault="00A2569F">
            <w:pPr>
              <w:keepNext/>
              <w:keepLines/>
              <w:spacing w:after="0" w:line="240" w:lineRule="auto"/>
              <w:jc w:val="center"/>
            </w:pPr>
            <w:r>
              <w:rPr>
                <w:b/>
                <w:sz w:val="18"/>
              </w:rPr>
              <w:t>Indeks (%)</w:t>
            </w:r>
          </w:p>
        </w:tc>
      </w:tr>
      <w:tr w:rsidR="00095719" w14:paraId="5382D06F" w14:textId="77777777">
        <w:trPr>
          <w:cantSplit/>
          <w:trHeight w:val="560"/>
        </w:trPr>
        <w:tc>
          <w:tcPr>
            <w:tcW w:w="700" w:type="dxa"/>
            <w:tcMar>
              <w:top w:w="0" w:type="dxa"/>
              <w:bottom w:w="0" w:type="dxa"/>
            </w:tcMar>
            <w:vAlign w:val="center"/>
          </w:tcPr>
          <w:p w14:paraId="5359869F" w14:textId="77777777" w:rsidR="00095719" w:rsidRDefault="00A2569F">
            <w:pPr>
              <w:keepNext/>
              <w:keepLines/>
              <w:spacing w:after="0" w:line="240" w:lineRule="auto"/>
            </w:pPr>
            <w:r>
              <w:rPr>
                <w:sz w:val="18"/>
              </w:rPr>
              <w:t>3237</w:t>
            </w:r>
          </w:p>
        </w:tc>
        <w:tc>
          <w:tcPr>
            <w:tcW w:w="3180" w:type="dxa"/>
            <w:tcMar>
              <w:top w:w="0" w:type="dxa"/>
              <w:bottom w:w="0" w:type="dxa"/>
            </w:tcMar>
            <w:vAlign w:val="center"/>
          </w:tcPr>
          <w:p w14:paraId="2C8E6F75" w14:textId="77777777" w:rsidR="00095719" w:rsidRDefault="00A2569F">
            <w:pPr>
              <w:keepNext/>
              <w:keepLines/>
              <w:spacing w:after="0" w:line="240" w:lineRule="auto"/>
            </w:pPr>
            <w:r>
              <w:rPr>
                <w:sz w:val="18"/>
              </w:rPr>
              <w:t>Intelektualne i osobne usluge</w:t>
            </w:r>
          </w:p>
        </w:tc>
        <w:tc>
          <w:tcPr>
            <w:tcW w:w="700" w:type="dxa"/>
            <w:tcMar>
              <w:top w:w="0" w:type="dxa"/>
              <w:bottom w:w="0" w:type="dxa"/>
            </w:tcMar>
            <w:vAlign w:val="center"/>
          </w:tcPr>
          <w:p w14:paraId="6F56B258" w14:textId="77777777" w:rsidR="00095719" w:rsidRDefault="00A2569F">
            <w:pPr>
              <w:keepNext/>
              <w:keepLines/>
              <w:spacing w:after="0" w:line="240" w:lineRule="auto"/>
            </w:pPr>
            <w:r>
              <w:rPr>
                <w:sz w:val="18"/>
              </w:rPr>
              <w:t>3237</w:t>
            </w:r>
          </w:p>
        </w:tc>
        <w:tc>
          <w:tcPr>
            <w:tcW w:w="1860" w:type="dxa"/>
            <w:tcMar>
              <w:top w:w="0" w:type="dxa"/>
              <w:bottom w:w="0" w:type="dxa"/>
            </w:tcMar>
            <w:vAlign w:val="center"/>
          </w:tcPr>
          <w:p w14:paraId="6C04C7D0" w14:textId="77777777" w:rsidR="00095719" w:rsidRDefault="00A2569F">
            <w:pPr>
              <w:keepNext/>
              <w:keepLines/>
              <w:spacing w:after="0" w:line="240" w:lineRule="auto"/>
              <w:jc w:val="right"/>
            </w:pPr>
            <w:r>
              <w:rPr>
                <w:sz w:val="18"/>
              </w:rPr>
              <w:t>27.213,84</w:t>
            </w:r>
          </w:p>
        </w:tc>
        <w:tc>
          <w:tcPr>
            <w:tcW w:w="1860" w:type="dxa"/>
            <w:tcMar>
              <w:top w:w="0" w:type="dxa"/>
              <w:bottom w:w="0" w:type="dxa"/>
            </w:tcMar>
            <w:vAlign w:val="center"/>
          </w:tcPr>
          <w:p w14:paraId="0E725B7F" w14:textId="77777777" w:rsidR="00095719" w:rsidRDefault="00A2569F">
            <w:pPr>
              <w:keepNext/>
              <w:keepLines/>
              <w:spacing w:after="0" w:line="240" w:lineRule="auto"/>
              <w:jc w:val="right"/>
            </w:pPr>
            <w:r>
              <w:rPr>
                <w:sz w:val="18"/>
              </w:rPr>
              <w:t>57.490,25</w:t>
            </w:r>
          </w:p>
        </w:tc>
        <w:tc>
          <w:tcPr>
            <w:tcW w:w="700" w:type="dxa"/>
            <w:tcMar>
              <w:top w:w="0" w:type="dxa"/>
              <w:bottom w:w="0" w:type="dxa"/>
            </w:tcMar>
            <w:vAlign w:val="center"/>
          </w:tcPr>
          <w:p w14:paraId="542CBE06" w14:textId="77777777" w:rsidR="00095719" w:rsidRDefault="00A2569F">
            <w:pPr>
              <w:keepNext/>
              <w:keepLines/>
              <w:spacing w:after="0" w:line="240" w:lineRule="auto"/>
              <w:jc w:val="right"/>
            </w:pPr>
            <w:r>
              <w:rPr>
                <w:sz w:val="18"/>
              </w:rPr>
              <w:t>211,3</w:t>
            </w:r>
          </w:p>
        </w:tc>
      </w:tr>
    </w:tbl>
    <w:p w14:paraId="5C830D83" w14:textId="77777777" w:rsidR="00095719" w:rsidRDefault="00095719">
      <w:pPr>
        <w:spacing w:after="0"/>
      </w:pPr>
    </w:p>
    <w:p w14:paraId="2AAA369A" w14:textId="77777777" w:rsidR="00095719" w:rsidRDefault="00A2569F">
      <w:r>
        <w:t xml:space="preserve">Intelektualne i osobne usluge povećane su za 111,3% u odnosu na prethodnu godinu. Djelomično je to zbog autorskih honorara za izvođače, usluge izrade plana rasvjete Općine Kloštar Ivanić, usluge izrade strategije </w:t>
      </w:r>
      <w:proofErr w:type="spellStart"/>
      <w:r>
        <w:t>upravaljanja</w:t>
      </w:r>
      <w:proofErr w:type="spellEnd"/>
      <w:r>
        <w:t xml:space="preserve"> imovinom, te izrade prometnog elaborata, a u svrhu postavljanja uređaja za mjerenje brzine prometa.</w:t>
      </w:r>
    </w:p>
    <w:p w14:paraId="5EFD8DE1" w14:textId="77777777" w:rsidR="00095719" w:rsidRDefault="00095719"/>
    <w:p w14:paraId="4038EC12" w14:textId="77777777" w:rsidR="00095719" w:rsidRDefault="00A2569F">
      <w:pPr>
        <w:keepNext/>
        <w:spacing w:line="240" w:lineRule="auto"/>
        <w:jc w:val="center"/>
      </w:pPr>
      <w:r>
        <w:rPr>
          <w:sz w:val="28"/>
        </w:rPr>
        <w:t>Bilješka 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337E480C" w14:textId="77777777">
        <w:trPr>
          <w:cantSplit/>
        </w:trPr>
        <w:tc>
          <w:tcPr>
            <w:tcW w:w="700" w:type="dxa"/>
            <w:shd w:val="clear" w:color="auto" w:fill="E7F0F9"/>
            <w:tcMar>
              <w:top w:w="0" w:type="dxa"/>
              <w:bottom w:w="0" w:type="dxa"/>
            </w:tcMar>
            <w:vAlign w:val="center"/>
          </w:tcPr>
          <w:p w14:paraId="62C547A1"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559C434"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FC8DB21"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78B4B77"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5DB0333"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E1695D1" w14:textId="77777777" w:rsidR="00095719" w:rsidRDefault="00A2569F">
            <w:pPr>
              <w:keepNext/>
              <w:keepLines/>
              <w:spacing w:after="0" w:line="240" w:lineRule="auto"/>
              <w:jc w:val="center"/>
            </w:pPr>
            <w:r>
              <w:rPr>
                <w:b/>
                <w:sz w:val="18"/>
              </w:rPr>
              <w:t>Indeks (%)</w:t>
            </w:r>
          </w:p>
        </w:tc>
      </w:tr>
      <w:tr w:rsidR="00095719" w14:paraId="5D6DB788" w14:textId="77777777">
        <w:trPr>
          <w:cantSplit/>
          <w:trHeight w:val="560"/>
        </w:trPr>
        <w:tc>
          <w:tcPr>
            <w:tcW w:w="700" w:type="dxa"/>
            <w:tcMar>
              <w:top w:w="0" w:type="dxa"/>
              <w:bottom w:w="0" w:type="dxa"/>
            </w:tcMar>
            <w:vAlign w:val="center"/>
          </w:tcPr>
          <w:p w14:paraId="0E9EB507" w14:textId="77777777" w:rsidR="00095719" w:rsidRDefault="00A2569F">
            <w:pPr>
              <w:keepNext/>
              <w:keepLines/>
              <w:spacing w:after="0" w:line="240" w:lineRule="auto"/>
            </w:pPr>
            <w:r>
              <w:rPr>
                <w:sz w:val="18"/>
              </w:rPr>
              <w:t>3291</w:t>
            </w:r>
          </w:p>
        </w:tc>
        <w:tc>
          <w:tcPr>
            <w:tcW w:w="3180" w:type="dxa"/>
            <w:tcMar>
              <w:top w:w="0" w:type="dxa"/>
              <w:bottom w:w="0" w:type="dxa"/>
            </w:tcMar>
            <w:vAlign w:val="center"/>
          </w:tcPr>
          <w:p w14:paraId="799377A6" w14:textId="77777777" w:rsidR="00095719" w:rsidRDefault="00A2569F">
            <w:pPr>
              <w:keepNext/>
              <w:keepLines/>
              <w:spacing w:after="0" w:line="240" w:lineRule="auto"/>
            </w:pPr>
            <w:r>
              <w:rPr>
                <w:sz w:val="18"/>
              </w:rPr>
              <w:t>Naknade za rad predstavničkih i izvršnih tijela, povjerenstava i slično</w:t>
            </w:r>
          </w:p>
        </w:tc>
        <w:tc>
          <w:tcPr>
            <w:tcW w:w="700" w:type="dxa"/>
            <w:tcMar>
              <w:top w:w="0" w:type="dxa"/>
              <w:bottom w:w="0" w:type="dxa"/>
            </w:tcMar>
            <w:vAlign w:val="center"/>
          </w:tcPr>
          <w:p w14:paraId="29621EA8" w14:textId="77777777" w:rsidR="00095719" w:rsidRDefault="00A2569F">
            <w:pPr>
              <w:keepNext/>
              <w:keepLines/>
              <w:spacing w:after="0" w:line="240" w:lineRule="auto"/>
            </w:pPr>
            <w:r>
              <w:rPr>
                <w:sz w:val="18"/>
              </w:rPr>
              <w:t>3291</w:t>
            </w:r>
          </w:p>
        </w:tc>
        <w:tc>
          <w:tcPr>
            <w:tcW w:w="1860" w:type="dxa"/>
            <w:tcMar>
              <w:top w:w="0" w:type="dxa"/>
              <w:bottom w:w="0" w:type="dxa"/>
            </w:tcMar>
            <w:vAlign w:val="center"/>
          </w:tcPr>
          <w:p w14:paraId="343ED68B" w14:textId="77777777" w:rsidR="00095719" w:rsidRDefault="00A2569F">
            <w:pPr>
              <w:keepNext/>
              <w:keepLines/>
              <w:spacing w:after="0" w:line="240" w:lineRule="auto"/>
              <w:jc w:val="right"/>
            </w:pPr>
            <w:r>
              <w:rPr>
                <w:sz w:val="18"/>
              </w:rPr>
              <w:t>44.068,07</w:t>
            </w:r>
          </w:p>
        </w:tc>
        <w:tc>
          <w:tcPr>
            <w:tcW w:w="1860" w:type="dxa"/>
            <w:tcMar>
              <w:top w:w="0" w:type="dxa"/>
              <w:bottom w:w="0" w:type="dxa"/>
            </w:tcMar>
            <w:vAlign w:val="center"/>
          </w:tcPr>
          <w:p w14:paraId="69B95F38" w14:textId="77777777" w:rsidR="00095719" w:rsidRDefault="00A2569F">
            <w:pPr>
              <w:keepNext/>
              <w:keepLines/>
              <w:spacing w:after="0" w:line="240" w:lineRule="auto"/>
              <w:jc w:val="right"/>
            </w:pPr>
            <w:r>
              <w:rPr>
                <w:sz w:val="18"/>
              </w:rPr>
              <w:t>60.210,80</w:t>
            </w:r>
          </w:p>
        </w:tc>
        <w:tc>
          <w:tcPr>
            <w:tcW w:w="700" w:type="dxa"/>
            <w:tcMar>
              <w:top w:w="0" w:type="dxa"/>
              <w:bottom w:w="0" w:type="dxa"/>
            </w:tcMar>
            <w:vAlign w:val="center"/>
          </w:tcPr>
          <w:p w14:paraId="0786E78D" w14:textId="77777777" w:rsidR="00095719" w:rsidRDefault="00A2569F">
            <w:pPr>
              <w:keepNext/>
              <w:keepLines/>
              <w:spacing w:after="0" w:line="240" w:lineRule="auto"/>
              <w:jc w:val="right"/>
            </w:pPr>
            <w:r>
              <w:rPr>
                <w:sz w:val="18"/>
              </w:rPr>
              <w:t>136,6</w:t>
            </w:r>
          </w:p>
        </w:tc>
      </w:tr>
    </w:tbl>
    <w:p w14:paraId="5526B5CB" w14:textId="77777777" w:rsidR="00095719" w:rsidRDefault="00095719">
      <w:pPr>
        <w:spacing w:after="0"/>
      </w:pPr>
    </w:p>
    <w:p w14:paraId="49192156" w14:textId="77777777" w:rsidR="00095719" w:rsidRDefault="00A2569F">
      <w:r>
        <w:t xml:space="preserve">Rashod za naknade za rad predstavničkih i izvršnih tijela veći je u odnosu na prethodno razdoblje za 36,6%. Do povećanja je došlo uslijed provedbe lokalnih izbora i isplate naknada za rad članovima biračkih </w:t>
      </w:r>
      <w:proofErr w:type="spellStart"/>
      <w:r>
        <w:t>odobora</w:t>
      </w:r>
      <w:proofErr w:type="spellEnd"/>
      <w:r>
        <w:t xml:space="preserve"> i </w:t>
      </w:r>
      <w:proofErr w:type="spellStart"/>
      <w:r>
        <w:t>čalnovima</w:t>
      </w:r>
      <w:proofErr w:type="spellEnd"/>
      <w:r>
        <w:t xml:space="preserve"> izbornih povjerenstava.</w:t>
      </w:r>
    </w:p>
    <w:p w14:paraId="6420ABFE" w14:textId="77777777" w:rsidR="00095719" w:rsidRDefault="00095719"/>
    <w:p w14:paraId="5473219D" w14:textId="77777777" w:rsidR="00095719" w:rsidRDefault="00A2569F">
      <w:pPr>
        <w:keepNext/>
        <w:spacing w:line="240" w:lineRule="auto"/>
        <w:jc w:val="center"/>
      </w:pPr>
      <w:r>
        <w:rPr>
          <w:sz w:val="28"/>
        </w:rPr>
        <w:t>Bilješka 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3842956C" w14:textId="77777777">
        <w:trPr>
          <w:cantSplit/>
        </w:trPr>
        <w:tc>
          <w:tcPr>
            <w:tcW w:w="700" w:type="dxa"/>
            <w:shd w:val="clear" w:color="auto" w:fill="E7F0F9"/>
            <w:tcMar>
              <w:top w:w="0" w:type="dxa"/>
              <w:bottom w:w="0" w:type="dxa"/>
            </w:tcMar>
            <w:vAlign w:val="center"/>
          </w:tcPr>
          <w:p w14:paraId="5FDD64EA"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B755FE4"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0EC8378"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C7C8409"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FE22769"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20EAE53" w14:textId="77777777" w:rsidR="00095719" w:rsidRDefault="00A2569F">
            <w:pPr>
              <w:keepNext/>
              <w:keepLines/>
              <w:spacing w:after="0" w:line="240" w:lineRule="auto"/>
              <w:jc w:val="center"/>
            </w:pPr>
            <w:r>
              <w:rPr>
                <w:b/>
                <w:sz w:val="18"/>
              </w:rPr>
              <w:t>Indeks (%)</w:t>
            </w:r>
          </w:p>
        </w:tc>
      </w:tr>
      <w:tr w:rsidR="00095719" w14:paraId="007BFF68" w14:textId="77777777">
        <w:trPr>
          <w:cantSplit/>
          <w:trHeight w:val="560"/>
        </w:trPr>
        <w:tc>
          <w:tcPr>
            <w:tcW w:w="700" w:type="dxa"/>
            <w:tcMar>
              <w:top w:w="0" w:type="dxa"/>
              <w:bottom w:w="0" w:type="dxa"/>
            </w:tcMar>
            <w:vAlign w:val="center"/>
          </w:tcPr>
          <w:p w14:paraId="6D6B2008" w14:textId="77777777" w:rsidR="00095719" w:rsidRDefault="00A2569F">
            <w:pPr>
              <w:keepNext/>
              <w:keepLines/>
              <w:spacing w:after="0" w:line="240" w:lineRule="auto"/>
            </w:pPr>
            <w:r>
              <w:rPr>
                <w:sz w:val="18"/>
              </w:rPr>
              <w:t>3422</w:t>
            </w:r>
          </w:p>
        </w:tc>
        <w:tc>
          <w:tcPr>
            <w:tcW w:w="3180" w:type="dxa"/>
            <w:tcMar>
              <w:top w:w="0" w:type="dxa"/>
              <w:bottom w:w="0" w:type="dxa"/>
            </w:tcMar>
            <w:vAlign w:val="center"/>
          </w:tcPr>
          <w:p w14:paraId="41B8BDE7" w14:textId="77777777" w:rsidR="00095719" w:rsidRDefault="00A2569F">
            <w:pPr>
              <w:keepNext/>
              <w:keepLines/>
              <w:spacing w:after="0" w:line="240" w:lineRule="auto"/>
            </w:pPr>
            <w:r>
              <w:rPr>
                <w:sz w:val="18"/>
              </w:rPr>
              <w:t>Kamate za primljene kredite i zajmove od kreditnih i ostalih financijskih institucija u javnom sektoru</w:t>
            </w:r>
          </w:p>
        </w:tc>
        <w:tc>
          <w:tcPr>
            <w:tcW w:w="700" w:type="dxa"/>
            <w:tcMar>
              <w:top w:w="0" w:type="dxa"/>
              <w:bottom w:w="0" w:type="dxa"/>
            </w:tcMar>
            <w:vAlign w:val="center"/>
          </w:tcPr>
          <w:p w14:paraId="675A2F71" w14:textId="77777777" w:rsidR="00095719" w:rsidRDefault="00A2569F">
            <w:pPr>
              <w:keepNext/>
              <w:keepLines/>
              <w:spacing w:after="0" w:line="240" w:lineRule="auto"/>
            </w:pPr>
            <w:r>
              <w:rPr>
                <w:sz w:val="18"/>
              </w:rPr>
              <w:t>3422</w:t>
            </w:r>
          </w:p>
        </w:tc>
        <w:tc>
          <w:tcPr>
            <w:tcW w:w="1860" w:type="dxa"/>
            <w:tcMar>
              <w:top w:w="0" w:type="dxa"/>
              <w:bottom w:w="0" w:type="dxa"/>
            </w:tcMar>
            <w:vAlign w:val="center"/>
          </w:tcPr>
          <w:p w14:paraId="09DAEACE" w14:textId="77777777" w:rsidR="00095719" w:rsidRDefault="00A2569F">
            <w:pPr>
              <w:keepNext/>
              <w:keepLines/>
              <w:spacing w:after="0" w:line="240" w:lineRule="auto"/>
              <w:jc w:val="right"/>
            </w:pPr>
            <w:r>
              <w:rPr>
                <w:sz w:val="18"/>
              </w:rPr>
              <w:t>1.199,39</w:t>
            </w:r>
          </w:p>
        </w:tc>
        <w:tc>
          <w:tcPr>
            <w:tcW w:w="1860" w:type="dxa"/>
            <w:tcMar>
              <w:top w:w="0" w:type="dxa"/>
              <w:bottom w:w="0" w:type="dxa"/>
            </w:tcMar>
            <w:vAlign w:val="center"/>
          </w:tcPr>
          <w:p w14:paraId="2E6E91C4" w14:textId="77777777" w:rsidR="00095719" w:rsidRDefault="00A2569F">
            <w:pPr>
              <w:keepNext/>
              <w:keepLines/>
              <w:spacing w:after="0" w:line="240" w:lineRule="auto"/>
              <w:jc w:val="right"/>
            </w:pPr>
            <w:r>
              <w:rPr>
                <w:sz w:val="18"/>
              </w:rPr>
              <w:t>10.759,05</w:t>
            </w:r>
          </w:p>
        </w:tc>
        <w:tc>
          <w:tcPr>
            <w:tcW w:w="700" w:type="dxa"/>
            <w:tcMar>
              <w:top w:w="0" w:type="dxa"/>
              <w:bottom w:w="0" w:type="dxa"/>
            </w:tcMar>
            <w:vAlign w:val="center"/>
          </w:tcPr>
          <w:p w14:paraId="62DAD721" w14:textId="77777777" w:rsidR="00095719" w:rsidRDefault="00A2569F">
            <w:pPr>
              <w:keepNext/>
              <w:keepLines/>
              <w:spacing w:after="0" w:line="240" w:lineRule="auto"/>
              <w:jc w:val="right"/>
            </w:pPr>
            <w:r>
              <w:rPr>
                <w:sz w:val="18"/>
              </w:rPr>
              <w:t>897,0</w:t>
            </w:r>
          </w:p>
        </w:tc>
      </w:tr>
    </w:tbl>
    <w:p w14:paraId="3001FA45" w14:textId="77777777" w:rsidR="00095719" w:rsidRDefault="00095719">
      <w:pPr>
        <w:spacing w:after="0"/>
      </w:pPr>
    </w:p>
    <w:p w14:paraId="56EAF977" w14:textId="77777777" w:rsidR="00095719" w:rsidRDefault="00A2569F">
      <w:r>
        <w:t>Rashod je veći zbog otplate dugoročnih kredita financijskoj instituciji u javnom sektoru.</w:t>
      </w:r>
    </w:p>
    <w:p w14:paraId="0F712BC1" w14:textId="77777777" w:rsidR="00095719" w:rsidRDefault="00095719"/>
    <w:p w14:paraId="03A83AEC" w14:textId="77777777" w:rsidR="00095719" w:rsidRDefault="00A2569F">
      <w:pPr>
        <w:keepNext/>
        <w:spacing w:line="240" w:lineRule="auto"/>
        <w:jc w:val="center"/>
      </w:pPr>
      <w:r>
        <w:rPr>
          <w:sz w:val="28"/>
        </w:rPr>
        <w:t>Bilješka 10.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31DA1FC4" w14:textId="77777777">
        <w:trPr>
          <w:cantSplit/>
        </w:trPr>
        <w:tc>
          <w:tcPr>
            <w:tcW w:w="700" w:type="dxa"/>
            <w:shd w:val="clear" w:color="auto" w:fill="E7F0F9"/>
            <w:tcMar>
              <w:top w:w="0" w:type="dxa"/>
              <w:bottom w:w="0" w:type="dxa"/>
            </w:tcMar>
            <w:vAlign w:val="center"/>
          </w:tcPr>
          <w:p w14:paraId="67E91EDD"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551E7C9"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236129D"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F74EFF8"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426DC40"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1DC7750" w14:textId="77777777" w:rsidR="00095719" w:rsidRDefault="00A2569F">
            <w:pPr>
              <w:keepNext/>
              <w:keepLines/>
              <w:spacing w:after="0" w:line="240" w:lineRule="auto"/>
              <w:jc w:val="center"/>
            </w:pPr>
            <w:r>
              <w:rPr>
                <w:b/>
                <w:sz w:val="18"/>
              </w:rPr>
              <w:t>Indeks (%)</w:t>
            </w:r>
          </w:p>
        </w:tc>
      </w:tr>
      <w:tr w:rsidR="00095719" w14:paraId="6D2DE520" w14:textId="77777777">
        <w:trPr>
          <w:cantSplit/>
          <w:trHeight w:val="560"/>
        </w:trPr>
        <w:tc>
          <w:tcPr>
            <w:tcW w:w="700" w:type="dxa"/>
            <w:tcMar>
              <w:top w:w="0" w:type="dxa"/>
              <w:bottom w:w="0" w:type="dxa"/>
            </w:tcMar>
            <w:vAlign w:val="center"/>
          </w:tcPr>
          <w:p w14:paraId="180164AB" w14:textId="77777777" w:rsidR="00095719" w:rsidRDefault="00A2569F">
            <w:pPr>
              <w:keepNext/>
              <w:keepLines/>
              <w:spacing w:after="0" w:line="240" w:lineRule="auto"/>
            </w:pPr>
            <w:r>
              <w:rPr>
                <w:sz w:val="18"/>
              </w:rPr>
              <w:t>3631</w:t>
            </w:r>
          </w:p>
        </w:tc>
        <w:tc>
          <w:tcPr>
            <w:tcW w:w="3180" w:type="dxa"/>
            <w:tcMar>
              <w:top w:w="0" w:type="dxa"/>
              <w:bottom w:w="0" w:type="dxa"/>
            </w:tcMar>
            <w:vAlign w:val="center"/>
          </w:tcPr>
          <w:p w14:paraId="087FAC05" w14:textId="77777777" w:rsidR="00095719" w:rsidRDefault="00A2569F">
            <w:pPr>
              <w:keepNext/>
              <w:keepLines/>
              <w:spacing w:after="0" w:line="240" w:lineRule="auto"/>
            </w:pPr>
            <w:r>
              <w:rPr>
                <w:sz w:val="18"/>
              </w:rPr>
              <w:t>Tekuće pomoći drugom proračunu i izvanproračunskim korisnicima</w:t>
            </w:r>
          </w:p>
        </w:tc>
        <w:tc>
          <w:tcPr>
            <w:tcW w:w="700" w:type="dxa"/>
            <w:tcMar>
              <w:top w:w="0" w:type="dxa"/>
              <w:bottom w:w="0" w:type="dxa"/>
            </w:tcMar>
            <w:vAlign w:val="center"/>
          </w:tcPr>
          <w:p w14:paraId="24F702A0" w14:textId="77777777" w:rsidR="00095719" w:rsidRDefault="00A2569F">
            <w:pPr>
              <w:keepNext/>
              <w:keepLines/>
              <w:spacing w:after="0" w:line="240" w:lineRule="auto"/>
            </w:pPr>
            <w:r>
              <w:rPr>
                <w:sz w:val="18"/>
              </w:rPr>
              <w:t>3631</w:t>
            </w:r>
          </w:p>
        </w:tc>
        <w:tc>
          <w:tcPr>
            <w:tcW w:w="1860" w:type="dxa"/>
            <w:tcMar>
              <w:top w:w="0" w:type="dxa"/>
              <w:bottom w:w="0" w:type="dxa"/>
            </w:tcMar>
            <w:vAlign w:val="center"/>
          </w:tcPr>
          <w:p w14:paraId="332C808E" w14:textId="77777777" w:rsidR="00095719" w:rsidRDefault="00A2569F">
            <w:pPr>
              <w:keepNext/>
              <w:keepLines/>
              <w:spacing w:after="0" w:line="240" w:lineRule="auto"/>
              <w:jc w:val="right"/>
            </w:pPr>
            <w:r>
              <w:rPr>
                <w:sz w:val="18"/>
              </w:rPr>
              <w:t>57.749,22</w:t>
            </w:r>
          </w:p>
        </w:tc>
        <w:tc>
          <w:tcPr>
            <w:tcW w:w="1860" w:type="dxa"/>
            <w:tcMar>
              <w:top w:w="0" w:type="dxa"/>
              <w:bottom w:w="0" w:type="dxa"/>
            </w:tcMar>
            <w:vAlign w:val="center"/>
          </w:tcPr>
          <w:p w14:paraId="4D4C858D" w14:textId="77777777" w:rsidR="00095719" w:rsidRDefault="00A2569F">
            <w:pPr>
              <w:keepNext/>
              <w:keepLines/>
              <w:spacing w:after="0" w:line="240" w:lineRule="auto"/>
              <w:jc w:val="right"/>
            </w:pPr>
            <w:r>
              <w:rPr>
                <w:sz w:val="18"/>
              </w:rPr>
              <w:t>92.937,78</w:t>
            </w:r>
          </w:p>
        </w:tc>
        <w:tc>
          <w:tcPr>
            <w:tcW w:w="700" w:type="dxa"/>
            <w:tcMar>
              <w:top w:w="0" w:type="dxa"/>
              <w:bottom w:w="0" w:type="dxa"/>
            </w:tcMar>
            <w:vAlign w:val="center"/>
          </w:tcPr>
          <w:p w14:paraId="0BAC5462" w14:textId="77777777" w:rsidR="00095719" w:rsidRDefault="00A2569F">
            <w:pPr>
              <w:keepNext/>
              <w:keepLines/>
              <w:spacing w:after="0" w:line="240" w:lineRule="auto"/>
              <w:jc w:val="right"/>
            </w:pPr>
            <w:r>
              <w:rPr>
                <w:sz w:val="18"/>
              </w:rPr>
              <w:t>160,9</w:t>
            </w:r>
          </w:p>
        </w:tc>
      </w:tr>
    </w:tbl>
    <w:p w14:paraId="14BBFF4E" w14:textId="77777777" w:rsidR="00095719" w:rsidRDefault="00095719">
      <w:pPr>
        <w:spacing w:after="0"/>
      </w:pPr>
    </w:p>
    <w:p w14:paraId="0B3DFE6C" w14:textId="77777777" w:rsidR="00095719" w:rsidRDefault="00A2569F">
      <w:r>
        <w:t xml:space="preserve">Tekuće pomoći drugom proračunu i izvanproračunskim korisnicima veći su za 60,9% u odnosu na prethodno razdoblje. Razlog tome je veći iznos izdvajanja sredstava za produženi boravak učenika od 1. do 4. razreda u O.Š. braće Radić, podmirenje naknade za odlaganje </w:t>
      </w:r>
      <w:r>
        <w:lastRenderedPageBreak/>
        <w:t>otpada susjednoj JLP(R)S  te tekuća pomoć izvanproračunskom korisniku državnog proračuna - poticajna naknada.</w:t>
      </w:r>
    </w:p>
    <w:p w14:paraId="645639B8" w14:textId="77777777" w:rsidR="00095719" w:rsidRDefault="00095719"/>
    <w:p w14:paraId="5AF1226E" w14:textId="77777777" w:rsidR="00095719" w:rsidRDefault="00A2569F">
      <w:pPr>
        <w:keepNext/>
        <w:spacing w:line="240" w:lineRule="auto"/>
        <w:jc w:val="center"/>
      </w:pPr>
      <w:r>
        <w:rPr>
          <w:sz w:val="28"/>
        </w:rPr>
        <w:t>Bilješka 11.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0CDA8A5D" w14:textId="77777777">
        <w:trPr>
          <w:cantSplit/>
        </w:trPr>
        <w:tc>
          <w:tcPr>
            <w:tcW w:w="700" w:type="dxa"/>
            <w:shd w:val="clear" w:color="auto" w:fill="E7F0F9"/>
            <w:tcMar>
              <w:top w:w="0" w:type="dxa"/>
              <w:bottom w:w="0" w:type="dxa"/>
            </w:tcMar>
            <w:vAlign w:val="center"/>
          </w:tcPr>
          <w:p w14:paraId="6FC2C6F3"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E57552F"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76BBE20"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B698122"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98BAEF9"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EC45415" w14:textId="77777777" w:rsidR="00095719" w:rsidRDefault="00A2569F">
            <w:pPr>
              <w:keepNext/>
              <w:keepLines/>
              <w:spacing w:after="0" w:line="240" w:lineRule="auto"/>
              <w:jc w:val="center"/>
            </w:pPr>
            <w:r>
              <w:rPr>
                <w:b/>
                <w:sz w:val="18"/>
              </w:rPr>
              <w:t>Indeks (%)</w:t>
            </w:r>
          </w:p>
        </w:tc>
      </w:tr>
      <w:tr w:rsidR="00095719" w14:paraId="32578D11" w14:textId="77777777">
        <w:trPr>
          <w:cantSplit/>
          <w:trHeight w:val="560"/>
        </w:trPr>
        <w:tc>
          <w:tcPr>
            <w:tcW w:w="700" w:type="dxa"/>
            <w:tcMar>
              <w:top w:w="0" w:type="dxa"/>
              <w:bottom w:w="0" w:type="dxa"/>
            </w:tcMar>
            <w:vAlign w:val="center"/>
          </w:tcPr>
          <w:p w14:paraId="36FAD85E" w14:textId="77777777" w:rsidR="00095719" w:rsidRDefault="00A2569F">
            <w:pPr>
              <w:keepNext/>
              <w:keepLines/>
              <w:spacing w:after="0" w:line="240" w:lineRule="auto"/>
            </w:pPr>
            <w:r>
              <w:rPr>
                <w:sz w:val="18"/>
              </w:rPr>
              <w:t>3661</w:t>
            </w:r>
          </w:p>
        </w:tc>
        <w:tc>
          <w:tcPr>
            <w:tcW w:w="3180" w:type="dxa"/>
            <w:tcMar>
              <w:top w:w="0" w:type="dxa"/>
              <w:bottom w:w="0" w:type="dxa"/>
            </w:tcMar>
            <w:vAlign w:val="center"/>
          </w:tcPr>
          <w:p w14:paraId="504B6C08" w14:textId="77777777" w:rsidR="00095719" w:rsidRDefault="00A2569F">
            <w:pPr>
              <w:keepNext/>
              <w:keepLines/>
              <w:spacing w:after="0" w:line="240" w:lineRule="auto"/>
            </w:pPr>
            <w:r>
              <w:rPr>
                <w:sz w:val="18"/>
              </w:rPr>
              <w:t>Tekuće pomoći proračunskim korisnicima drugih proračuna</w:t>
            </w:r>
          </w:p>
        </w:tc>
        <w:tc>
          <w:tcPr>
            <w:tcW w:w="700" w:type="dxa"/>
            <w:tcMar>
              <w:top w:w="0" w:type="dxa"/>
              <w:bottom w:w="0" w:type="dxa"/>
            </w:tcMar>
            <w:vAlign w:val="center"/>
          </w:tcPr>
          <w:p w14:paraId="787C5F98" w14:textId="77777777" w:rsidR="00095719" w:rsidRDefault="00A2569F">
            <w:pPr>
              <w:keepNext/>
              <w:keepLines/>
              <w:spacing w:after="0" w:line="240" w:lineRule="auto"/>
            </w:pPr>
            <w:r>
              <w:rPr>
                <w:sz w:val="18"/>
              </w:rPr>
              <w:t>3661</w:t>
            </w:r>
          </w:p>
        </w:tc>
        <w:tc>
          <w:tcPr>
            <w:tcW w:w="1860" w:type="dxa"/>
            <w:tcMar>
              <w:top w:w="0" w:type="dxa"/>
              <w:bottom w:w="0" w:type="dxa"/>
            </w:tcMar>
            <w:vAlign w:val="center"/>
          </w:tcPr>
          <w:p w14:paraId="566C519D" w14:textId="77777777" w:rsidR="00095719" w:rsidRDefault="00A2569F">
            <w:pPr>
              <w:keepNext/>
              <w:keepLines/>
              <w:spacing w:after="0" w:line="240" w:lineRule="auto"/>
              <w:jc w:val="right"/>
            </w:pPr>
            <w:r>
              <w:rPr>
                <w:sz w:val="18"/>
              </w:rPr>
              <w:t>15.000,00</w:t>
            </w:r>
          </w:p>
        </w:tc>
        <w:tc>
          <w:tcPr>
            <w:tcW w:w="1860" w:type="dxa"/>
            <w:tcMar>
              <w:top w:w="0" w:type="dxa"/>
              <w:bottom w:w="0" w:type="dxa"/>
            </w:tcMar>
            <w:vAlign w:val="center"/>
          </w:tcPr>
          <w:p w14:paraId="1483D692" w14:textId="77777777" w:rsidR="00095719" w:rsidRDefault="00A2569F">
            <w:pPr>
              <w:keepNext/>
              <w:keepLines/>
              <w:spacing w:after="0" w:line="240" w:lineRule="auto"/>
              <w:jc w:val="right"/>
            </w:pPr>
            <w:r>
              <w:rPr>
                <w:sz w:val="18"/>
              </w:rPr>
              <w:t>30.311,16</w:t>
            </w:r>
          </w:p>
        </w:tc>
        <w:tc>
          <w:tcPr>
            <w:tcW w:w="700" w:type="dxa"/>
            <w:tcMar>
              <w:top w:w="0" w:type="dxa"/>
              <w:bottom w:w="0" w:type="dxa"/>
            </w:tcMar>
            <w:vAlign w:val="center"/>
          </w:tcPr>
          <w:p w14:paraId="20CB4D0C" w14:textId="77777777" w:rsidR="00095719" w:rsidRDefault="00A2569F">
            <w:pPr>
              <w:keepNext/>
              <w:keepLines/>
              <w:spacing w:after="0" w:line="240" w:lineRule="auto"/>
              <w:jc w:val="right"/>
            </w:pPr>
            <w:r>
              <w:rPr>
                <w:sz w:val="18"/>
              </w:rPr>
              <w:t>202,1</w:t>
            </w:r>
          </w:p>
        </w:tc>
      </w:tr>
    </w:tbl>
    <w:p w14:paraId="63CB987F" w14:textId="77777777" w:rsidR="00095719" w:rsidRDefault="00095719">
      <w:pPr>
        <w:spacing w:after="0"/>
      </w:pPr>
    </w:p>
    <w:p w14:paraId="14A61961" w14:textId="77777777" w:rsidR="00095719" w:rsidRDefault="00A2569F">
      <w:r>
        <w:t>Tekuće pomoći proračunskim korisnicima drugih proračuna veći su u odnosu na prethodno razdoblje za 102,1%. Sredstva su utrošena za financiranje mjere sigurnosti u prometu u vidu uređaja za mjerenje brzine u prometu.</w:t>
      </w:r>
    </w:p>
    <w:p w14:paraId="43285E87" w14:textId="77777777" w:rsidR="00095719" w:rsidRDefault="00095719"/>
    <w:p w14:paraId="7EBF3509" w14:textId="77777777" w:rsidR="00095719" w:rsidRDefault="00A2569F">
      <w:pPr>
        <w:keepNext/>
        <w:spacing w:line="240" w:lineRule="auto"/>
        <w:jc w:val="center"/>
      </w:pPr>
      <w:r>
        <w:rPr>
          <w:sz w:val="28"/>
        </w:rPr>
        <w:t>Bilješka 12.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07051006" w14:textId="77777777">
        <w:trPr>
          <w:cantSplit/>
        </w:trPr>
        <w:tc>
          <w:tcPr>
            <w:tcW w:w="700" w:type="dxa"/>
            <w:shd w:val="clear" w:color="auto" w:fill="E7F0F9"/>
            <w:tcMar>
              <w:top w:w="0" w:type="dxa"/>
              <w:bottom w:w="0" w:type="dxa"/>
            </w:tcMar>
            <w:vAlign w:val="center"/>
          </w:tcPr>
          <w:p w14:paraId="08628BDD"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79C5ED9"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4EF8233"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362B06E"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C170D87"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B6EDC45" w14:textId="77777777" w:rsidR="00095719" w:rsidRDefault="00A2569F">
            <w:pPr>
              <w:keepNext/>
              <w:keepLines/>
              <w:spacing w:after="0" w:line="240" w:lineRule="auto"/>
              <w:jc w:val="center"/>
            </w:pPr>
            <w:r>
              <w:rPr>
                <w:b/>
                <w:sz w:val="18"/>
              </w:rPr>
              <w:t>Indeks (%)</w:t>
            </w:r>
          </w:p>
        </w:tc>
      </w:tr>
      <w:tr w:rsidR="00095719" w14:paraId="1D055F8E" w14:textId="77777777">
        <w:trPr>
          <w:cantSplit/>
          <w:trHeight w:val="560"/>
        </w:trPr>
        <w:tc>
          <w:tcPr>
            <w:tcW w:w="700" w:type="dxa"/>
            <w:tcMar>
              <w:top w:w="0" w:type="dxa"/>
              <w:bottom w:w="0" w:type="dxa"/>
            </w:tcMar>
            <w:vAlign w:val="center"/>
          </w:tcPr>
          <w:p w14:paraId="68445832" w14:textId="77777777" w:rsidR="00095719" w:rsidRDefault="00A2569F">
            <w:pPr>
              <w:keepNext/>
              <w:keepLines/>
              <w:spacing w:after="0" w:line="240" w:lineRule="auto"/>
            </w:pPr>
            <w:r>
              <w:rPr>
                <w:sz w:val="18"/>
              </w:rPr>
              <w:t>3672</w:t>
            </w:r>
          </w:p>
        </w:tc>
        <w:tc>
          <w:tcPr>
            <w:tcW w:w="3180" w:type="dxa"/>
            <w:tcMar>
              <w:top w:w="0" w:type="dxa"/>
              <w:bottom w:w="0" w:type="dxa"/>
            </w:tcMar>
            <w:vAlign w:val="center"/>
          </w:tcPr>
          <w:p w14:paraId="20F861D7" w14:textId="77777777" w:rsidR="00095719" w:rsidRDefault="00A2569F">
            <w:pPr>
              <w:keepNext/>
              <w:keepLines/>
              <w:spacing w:after="0" w:line="240" w:lineRule="auto"/>
            </w:pPr>
            <w:r>
              <w:rPr>
                <w:sz w:val="18"/>
              </w:rPr>
              <w:t>Prijenosi proračunskim korisnicima iz nadležnog proračuna za financiranje rashoda poslovanja</w:t>
            </w:r>
          </w:p>
        </w:tc>
        <w:tc>
          <w:tcPr>
            <w:tcW w:w="700" w:type="dxa"/>
            <w:tcMar>
              <w:top w:w="0" w:type="dxa"/>
              <w:bottom w:w="0" w:type="dxa"/>
            </w:tcMar>
            <w:vAlign w:val="center"/>
          </w:tcPr>
          <w:p w14:paraId="73CE2941" w14:textId="77777777" w:rsidR="00095719" w:rsidRDefault="00A2569F">
            <w:pPr>
              <w:keepNext/>
              <w:keepLines/>
              <w:spacing w:after="0" w:line="240" w:lineRule="auto"/>
            </w:pPr>
            <w:r>
              <w:rPr>
                <w:sz w:val="18"/>
              </w:rPr>
              <w:t>3672</w:t>
            </w:r>
          </w:p>
        </w:tc>
        <w:tc>
          <w:tcPr>
            <w:tcW w:w="1860" w:type="dxa"/>
            <w:tcMar>
              <w:top w:w="0" w:type="dxa"/>
              <w:bottom w:w="0" w:type="dxa"/>
            </w:tcMar>
            <w:vAlign w:val="center"/>
          </w:tcPr>
          <w:p w14:paraId="47118CA3" w14:textId="77777777" w:rsidR="00095719" w:rsidRDefault="00A2569F">
            <w:pPr>
              <w:keepNext/>
              <w:keepLines/>
              <w:spacing w:after="0" w:line="240" w:lineRule="auto"/>
              <w:jc w:val="right"/>
            </w:pPr>
            <w:r>
              <w:rPr>
                <w:sz w:val="18"/>
              </w:rPr>
              <w:t>949.319,19</w:t>
            </w:r>
          </w:p>
        </w:tc>
        <w:tc>
          <w:tcPr>
            <w:tcW w:w="1860" w:type="dxa"/>
            <w:tcMar>
              <w:top w:w="0" w:type="dxa"/>
              <w:bottom w:w="0" w:type="dxa"/>
            </w:tcMar>
            <w:vAlign w:val="center"/>
          </w:tcPr>
          <w:p w14:paraId="074D23F5" w14:textId="77777777" w:rsidR="00095719" w:rsidRDefault="00A2569F">
            <w:pPr>
              <w:keepNext/>
              <w:keepLines/>
              <w:spacing w:after="0" w:line="240" w:lineRule="auto"/>
              <w:jc w:val="right"/>
            </w:pPr>
            <w:r>
              <w:rPr>
                <w:sz w:val="18"/>
              </w:rPr>
              <w:t>1.170.321,59</w:t>
            </w:r>
          </w:p>
        </w:tc>
        <w:tc>
          <w:tcPr>
            <w:tcW w:w="700" w:type="dxa"/>
            <w:tcMar>
              <w:top w:w="0" w:type="dxa"/>
              <w:bottom w:w="0" w:type="dxa"/>
            </w:tcMar>
            <w:vAlign w:val="center"/>
          </w:tcPr>
          <w:p w14:paraId="35692035" w14:textId="77777777" w:rsidR="00095719" w:rsidRDefault="00A2569F">
            <w:pPr>
              <w:keepNext/>
              <w:keepLines/>
              <w:spacing w:after="0" w:line="240" w:lineRule="auto"/>
              <w:jc w:val="right"/>
            </w:pPr>
            <w:r>
              <w:rPr>
                <w:sz w:val="18"/>
              </w:rPr>
              <w:t>123,3</w:t>
            </w:r>
          </w:p>
        </w:tc>
      </w:tr>
    </w:tbl>
    <w:p w14:paraId="722F9D4E" w14:textId="77777777" w:rsidR="00095719" w:rsidRDefault="00095719">
      <w:pPr>
        <w:spacing w:after="0"/>
      </w:pPr>
    </w:p>
    <w:p w14:paraId="27B2A78F" w14:textId="77777777" w:rsidR="00095719" w:rsidRDefault="00A2569F">
      <w:r>
        <w:t>Prijenosi proračunskim korisnicima iz nadležnog proračuna za financiranje rashoda poslovanja povećani su za 23,3% u odnosu na isto razdoblje lani zbog povećanja plaća djelatnicima.</w:t>
      </w:r>
    </w:p>
    <w:p w14:paraId="0BD2D3EC" w14:textId="77777777" w:rsidR="00095719" w:rsidRDefault="00095719"/>
    <w:p w14:paraId="3218B657" w14:textId="77777777" w:rsidR="00095719" w:rsidRDefault="00A2569F">
      <w:pPr>
        <w:keepNext/>
        <w:spacing w:line="240" w:lineRule="auto"/>
        <w:jc w:val="center"/>
      </w:pPr>
      <w:r>
        <w:rPr>
          <w:sz w:val="28"/>
        </w:rPr>
        <w:t>Bilješka 13.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034810C3" w14:textId="77777777">
        <w:trPr>
          <w:cantSplit/>
        </w:trPr>
        <w:tc>
          <w:tcPr>
            <w:tcW w:w="700" w:type="dxa"/>
            <w:shd w:val="clear" w:color="auto" w:fill="E7F0F9"/>
            <w:tcMar>
              <w:top w:w="0" w:type="dxa"/>
              <w:bottom w:w="0" w:type="dxa"/>
            </w:tcMar>
            <w:vAlign w:val="center"/>
          </w:tcPr>
          <w:p w14:paraId="7917E485"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4A6B602"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AA12F96"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4AB6490"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E3D9E56"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CF021A8" w14:textId="77777777" w:rsidR="00095719" w:rsidRDefault="00A2569F">
            <w:pPr>
              <w:keepNext/>
              <w:keepLines/>
              <w:spacing w:after="0" w:line="240" w:lineRule="auto"/>
              <w:jc w:val="center"/>
            </w:pPr>
            <w:r>
              <w:rPr>
                <w:b/>
                <w:sz w:val="18"/>
              </w:rPr>
              <w:t>Indeks (%)</w:t>
            </w:r>
          </w:p>
        </w:tc>
      </w:tr>
      <w:tr w:rsidR="00095719" w14:paraId="5FF4C4C1" w14:textId="77777777">
        <w:trPr>
          <w:cantSplit/>
          <w:trHeight w:val="560"/>
        </w:trPr>
        <w:tc>
          <w:tcPr>
            <w:tcW w:w="700" w:type="dxa"/>
            <w:tcMar>
              <w:top w:w="0" w:type="dxa"/>
              <w:bottom w:w="0" w:type="dxa"/>
            </w:tcMar>
            <w:vAlign w:val="center"/>
          </w:tcPr>
          <w:p w14:paraId="7EB7BD70" w14:textId="77777777" w:rsidR="00095719" w:rsidRDefault="00A2569F">
            <w:pPr>
              <w:keepNext/>
              <w:keepLines/>
              <w:spacing w:after="0" w:line="240" w:lineRule="auto"/>
            </w:pPr>
            <w:r>
              <w:rPr>
                <w:sz w:val="18"/>
              </w:rPr>
              <w:t>3721</w:t>
            </w:r>
          </w:p>
        </w:tc>
        <w:tc>
          <w:tcPr>
            <w:tcW w:w="3180" w:type="dxa"/>
            <w:tcMar>
              <w:top w:w="0" w:type="dxa"/>
              <w:bottom w:w="0" w:type="dxa"/>
            </w:tcMar>
            <w:vAlign w:val="center"/>
          </w:tcPr>
          <w:p w14:paraId="69EB5F28" w14:textId="77777777" w:rsidR="00095719" w:rsidRDefault="00A2569F">
            <w:pPr>
              <w:keepNext/>
              <w:keepLines/>
              <w:spacing w:after="0" w:line="240" w:lineRule="auto"/>
            </w:pPr>
            <w:r>
              <w:rPr>
                <w:sz w:val="18"/>
              </w:rPr>
              <w:t>Naknade građanima i kućanstvima u novcu</w:t>
            </w:r>
          </w:p>
        </w:tc>
        <w:tc>
          <w:tcPr>
            <w:tcW w:w="700" w:type="dxa"/>
            <w:tcMar>
              <w:top w:w="0" w:type="dxa"/>
              <w:bottom w:w="0" w:type="dxa"/>
            </w:tcMar>
            <w:vAlign w:val="center"/>
          </w:tcPr>
          <w:p w14:paraId="05AE80D7" w14:textId="77777777" w:rsidR="00095719" w:rsidRDefault="00A2569F">
            <w:pPr>
              <w:keepNext/>
              <w:keepLines/>
              <w:spacing w:after="0" w:line="240" w:lineRule="auto"/>
            </w:pPr>
            <w:r>
              <w:rPr>
                <w:sz w:val="18"/>
              </w:rPr>
              <w:t>3721</w:t>
            </w:r>
          </w:p>
        </w:tc>
        <w:tc>
          <w:tcPr>
            <w:tcW w:w="1860" w:type="dxa"/>
            <w:tcMar>
              <w:top w:w="0" w:type="dxa"/>
              <w:bottom w:w="0" w:type="dxa"/>
            </w:tcMar>
            <w:vAlign w:val="center"/>
          </w:tcPr>
          <w:p w14:paraId="12915C86" w14:textId="77777777" w:rsidR="00095719" w:rsidRDefault="00A2569F">
            <w:pPr>
              <w:keepNext/>
              <w:keepLines/>
              <w:spacing w:after="0" w:line="240" w:lineRule="auto"/>
              <w:jc w:val="right"/>
            </w:pPr>
            <w:r>
              <w:rPr>
                <w:sz w:val="18"/>
              </w:rPr>
              <w:t>109.931,60</w:t>
            </w:r>
          </w:p>
        </w:tc>
        <w:tc>
          <w:tcPr>
            <w:tcW w:w="1860" w:type="dxa"/>
            <w:tcMar>
              <w:top w:w="0" w:type="dxa"/>
              <w:bottom w:w="0" w:type="dxa"/>
            </w:tcMar>
            <w:vAlign w:val="center"/>
          </w:tcPr>
          <w:p w14:paraId="6D973ECB" w14:textId="77777777" w:rsidR="00095719" w:rsidRDefault="00A2569F">
            <w:pPr>
              <w:keepNext/>
              <w:keepLines/>
              <w:spacing w:after="0" w:line="240" w:lineRule="auto"/>
              <w:jc w:val="right"/>
            </w:pPr>
            <w:r>
              <w:rPr>
                <w:sz w:val="18"/>
              </w:rPr>
              <w:t>233.420,00</w:t>
            </w:r>
          </w:p>
        </w:tc>
        <w:tc>
          <w:tcPr>
            <w:tcW w:w="700" w:type="dxa"/>
            <w:tcMar>
              <w:top w:w="0" w:type="dxa"/>
              <w:bottom w:w="0" w:type="dxa"/>
            </w:tcMar>
            <w:vAlign w:val="center"/>
          </w:tcPr>
          <w:p w14:paraId="5E50E1D6" w14:textId="77777777" w:rsidR="00095719" w:rsidRDefault="00A2569F">
            <w:pPr>
              <w:keepNext/>
              <w:keepLines/>
              <w:spacing w:after="0" w:line="240" w:lineRule="auto"/>
              <w:jc w:val="right"/>
            </w:pPr>
            <w:r>
              <w:rPr>
                <w:sz w:val="18"/>
              </w:rPr>
              <w:t>212,3</w:t>
            </w:r>
          </w:p>
        </w:tc>
      </w:tr>
    </w:tbl>
    <w:p w14:paraId="4C2CFD2C" w14:textId="77777777" w:rsidR="00095719" w:rsidRDefault="00095719">
      <w:pPr>
        <w:spacing w:after="0"/>
      </w:pPr>
    </w:p>
    <w:p w14:paraId="74F971C0" w14:textId="77777777" w:rsidR="00095719" w:rsidRDefault="00A2569F">
      <w:r>
        <w:t xml:space="preserve">Naknade građanima i kućanstvima u novcu rasle su za 112,3% u odnosu na prethodno razdoblje i to najvećim dijelom zbog isplate </w:t>
      </w:r>
      <w:proofErr w:type="spellStart"/>
      <w:r>
        <w:t>uskrsnica</w:t>
      </w:r>
      <w:proofErr w:type="spellEnd"/>
      <w:r>
        <w:t xml:space="preserve"> i božićnica umirovljenicima, radno nesposobnima korisnicima zajamčene minimalne naknade i nezaposlenima koji ne primaju naknadu iz HZZ-a.</w:t>
      </w:r>
    </w:p>
    <w:p w14:paraId="208DBAC1" w14:textId="77777777" w:rsidR="00095719" w:rsidRDefault="00095719"/>
    <w:p w14:paraId="78423615" w14:textId="77777777" w:rsidR="00095719" w:rsidRDefault="00A2569F">
      <w:pPr>
        <w:keepNext/>
        <w:spacing w:line="240" w:lineRule="auto"/>
        <w:jc w:val="center"/>
      </w:pPr>
      <w:r>
        <w:rPr>
          <w:sz w:val="28"/>
        </w:rPr>
        <w:lastRenderedPageBreak/>
        <w:t>Bilješka 14.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4E3D90DC" w14:textId="77777777">
        <w:trPr>
          <w:cantSplit/>
        </w:trPr>
        <w:tc>
          <w:tcPr>
            <w:tcW w:w="700" w:type="dxa"/>
            <w:shd w:val="clear" w:color="auto" w:fill="E7F0F9"/>
            <w:tcMar>
              <w:top w:w="0" w:type="dxa"/>
              <w:bottom w:w="0" w:type="dxa"/>
            </w:tcMar>
            <w:vAlign w:val="center"/>
          </w:tcPr>
          <w:p w14:paraId="1F21B7C5"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B93C905"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F93B776"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0F1DA0D"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946D054"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CB31BC8" w14:textId="77777777" w:rsidR="00095719" w:rsidRDefault="00A2569F">
            <w:pPr>
              <w:keepNext/>
              <w:keepLines/>
              <w:spacing w:after="0" w:line="240" w:lineRule="auto"/>
              <w:jc w:val="center"/>
            </w:pPr>
            <w:r>
              <w:rPr>
                <w:b/>
                <w:sz w:val="18"/>
              </w:rPr>
              <w:t>Indeks (%)</w:t>
            </w:r>
          </w:p>
        </w:tc>
      </w:tr>
      <w:tr w:rsidR="00095719" w14:paraId="48BCA8E5" w14:textId="77777777">
        <w:trPr>
          <w:cantSplit/>
          <w:trHeight w:val="560"/>
        </w:trPr>
        <w:tc>
          <w:tcPr>
            <w:tcW w:w="700" w:type="dxa"/>
            <w:tcMar>
              <w:top w:w="0" w:type="dxa"/>
              <w:bottom w:w="0" w:type="dxa"/>
            </w:tcMar>
            <w:vAlign w:val="center"/>
          </w:tcPr>
          <w:p w14:paraId="2AEB3385" w14:textId="77777777" w:rsidR="00095719" w:rsidRDefault="00A2569F">
            <w:pPr>
              <w:keepNext/>
              <w:keepLines/>
              <w:spacing w:after="0" w:line="240" w:lineRule="auto"/>
            </w:pPr>
            <w:r>
              <w:rPr>
                <w:sz w:val="18"/>
              </w:rPr>
              <w:t>4212</w:t>
            </w:r>
          </w:p>
        </w:tc>
        <w:tc>
          <w:tcPr>
            <w:tcW w:w="3180" w:type="dxa"/>
            <w:tcMar>
              <w:top w:w="0" w:type="dxa"/>
              <w:bottom w:w="0" w:type="dxa"/>
            </w:tcMar>
            <w:vAlign w:val="center"/>
          </w:tcPr>
          <w:p w14:paraId="1C2448DD" w14:textId="77777777" w:rsidR="00095719" w:rsidRDefault="00A2569F">
            <w:pPr>
              <w:keepNext/>
              <w:keepLines/>
              <w:spacing w:after="0" w:line="240" w:lineRule="auto"/>
            </w:pPr>
            <w:r>
              <w:rPr>
                <w:sz w:val="18"/>
              </w:rPr>
              <w:t>Poslovni objekti</w:t>
            </w:r>
          </w:p>
        </w:tc>
        <w:tc>
          <w:tcPr>
            <w:tcW w:w="700" w:type="dxa"/>
            <w:tcMar>
              <w:top w:w="0" w:type="dxa"/>
              <w:bottom w:w="0" w:type="dxa"/>
            </w:tcMar>
            <w:vAlign w:val="center"/>
          </w:tcPr>
          <w:p w14:paraId="370C0E11" w14:textId="77777777" w:rsidR="00095719" w:rsidRDefault="00A2569F">
            <w:pPr>
              <w:keepNext/>
              <w:keepLines/>
              <w:spacing w:after="0" w:line="240" w:lineRule="auto"/>
            </w:pPr>
            <w:r>
              <w:rPr>
                <w:sz w:val="18"/>
              </w:rPr>
              <w:t>4212</w:t>
            </w:r>
          </w:p>
        </w:tc>
        <w:tc>
          <w:tcPr>
            <w:tcW w:w="1860" w:type="dxa"/>
            <w:tcMar>
              <w:top w:w="0" w:type="dxa"/>
              <w:bottom w:w="0" w:type="dxa"/>
            </w:tcMar>
            <w:vAlign w:val="center"/>
          </w:tcPr>
          <w:p w14:paraId="64847C76" w14:textId="77777777" w:rsidR="00095719" w:rsidRDefault="00A2569F">
            <w:pPr>
              <w:keepNext/>
              <w:keepLines/>
              <w:spacing w:after="0" w:line="240" w:lineRule="auto"/>
              <w:jc w:val="right"/>
            </w:pPr>
            <w:r>
              <w:rPr>
                <w:sz w:val="18"/>
              </w:rPr>
              <w:t>84.584,02</w:t>
            </w:r>
          </w:p>
        </w:tc>
        <w:tc>
          <w:tcPr>
            <w:tcW w:w="1860" w:type="dxa"/>
            <w:tcMar>
              <w:top w:w="0" w:type="dxa"/>
              <w:bottom w:w="0" w:type="dxa"/>
            </w:tcMar>
            <w:vAlign w:val="center"/>
          </w:tcPr>
          <w:p w14:paraId="49A7B659" w14:textId="77777777" w:rsidR="00095719" w:rsidRDefault="00A2569F">
            <w:pPr>
              <w:keepNext/>
              <w:keepLines/>
              <w:spacing w:after="0" w:line="240" w:lineRule="auto"/>
              <w:jc w:val="right"/>
            </w:pPr>
            <w:r>
              <w:rPr>
                <w:sz w:val="18"/>
              </w:rPr>
              <w:t>675.739,81</w:t>
            </w:r>
          </w:p>
        </w:tc>
        <w:tc>
          <w:tcPr>
            <w:tcW w:w="700" w:type="dxa"/>
            <w:tcMar>
              <w:top w:w="0" w:type="dxa"/>
              <w:bottom w:w="0" w:type="dxa"/>
            </w:tcMar>
            <w:vAlign w:val="center"/>
          </w:tcPr>
          <w:p w14:paraId="420B5B5C" w14:textId="77777777" w:rsidR="00095719" w:rsidRDefault="00A2569F">
            <w:pPr>
              <w:keepNext/>
              <w:keepLines/>
              <w:spacing w:after="0" w:line="240" w:lineRule="auto"/>
              <w:jc w:val="right"/>
            </w:pPr>
            <w:r>
              <w:rPr>
                <w:sz w:val="18"/>
              </w:rPr>
              <w:t>798,9</w:t>
            </w:r>
          </w:p>
        </w:tc>
      </w:tr>
    </w:tbl>
    <w:p w14:paraId="08A8362E" w14:textId="77777777" w:rsidR="00095719" w:rsidRDefault="00095719">
      <w:pPr>
        <w:spacing w:after="0"/>
      </w:pPr>
    </w:p>
    <w:p w14:paraId="38334626" w14:textId="77777777" w:rsidR="00095719" w:rsidRDefault="00A2569F">
      <w:r>
        <w:t>Rashod poslovni objekti odnosi se na II. Dogradnju zgrade Dječjeg vrtića Proljeće Kloštar Ivanić.</w:t>
      </w:r>
    </w:p>
    <w:p w14:paraId="2216E591" w14:textId="77777777" w:rsidR="00095719" w:rsidRDefault="00095719"/>
    <w:p w14:paraId="6371A345" w14:textId="77777777" w:rsidR="00095719" w:rsidRDefault="00A2569F">
      <w:pPr>
        <w:keepNext/>
        <w:spacing w:line="240" w:lineRule="auto"/>
        <w:jc w:val="center"/>
      </w:pPr>
      <w:r>
        <w:rPr>
          <w:sz w:val="28"/>
        </w:rPr>
        <w:t>Bilješka 15.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0889BBA8" w14:textId="77777777">
        <w:trPr>
          <w:cantSplit/>
        </w:trPr>
        <w:tc>
          <w:tcPr>
            <w:tcW w:w="700" w:type="dxa"/>
            <w:shd w:val="clear" w:color="auto" w:fill="E7F0F9"/>
            <w:tcMar>
              <w:top w:w="0" w:type="dxa"/>
              <w:bottom w:w="0" w:type="dxa"/>
            </w:tcMar>
            <w:vAlign w:val="center"/>
          </w:tcPr>
          <w:p w14:paraId="199185BB"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EC40D7A"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2460A84"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40E33E9"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FEA2FD5"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639F570" w14:textId="77777777" w:rsidR="00095719" w:rsidRDefault="00A2569F">
            <w:pPr>
              <w:keepNext/>
              <w:keepLines/>
              <w:spacing w:after="0" w:line="240" w:lineRule="auto"/>
              <w:jc w:val="center"/>
            </w:pPr>
            <w:r>
              <w:rPr>
                <w:b/>
                <w:sz w:val="18"/>
              </w:rPr>
              <w:t>Indeks (%)</w:t>
            </w:r>
          </w:p>
        </w:tc>
      </w:tr>
      <w:tr w:rsidR="00095719" w14:paraId="3AFE0AFE" w14:textId="77777777">
        <w:trPr>
          <w:cantSplit/>
          <w:trHeight w:val="560"/>
        </w:trPr>
        <w:tc>
          <w:tcPr>
            <w:tcW w:w="700" w:type="dxa"/>
            <w:tcMar>
              <w:top w:w="0" w:type="dxa"/>
              <w:bottom w:w="0" w:type="dxa"/>
            </w:tcMar>
            <w:vAlign w:val="center"/>
          </w:tcPr>
          <w:p w14:paraId="26F0DA13" w14:textId="77777777" w:rsidR="00095719" w:rsidRDefault="00A2569F">
            <w:pPr>
              <w:keepNext/>
              <w:keepLines/>
              <w:spacing w:after="0" w:line="240" w:lineRule="auto"/>
            </w:pPr>
            <w:r>
              <w:rPr>
                <w:sz w:val="18"/>
              </w:rPr>
              <w:t>4213</w:t>
            </w:r>
          </w:p>
        </w:tc>
        <w:tc>
          <w:tcPr>
            <w:tcW w:w="3180" w:type="dxa"/>
            <w:tcMar>
              <w:top w:w="0" w:type="dxa"/>
              <w:bottom w:w="0" w:type="dxa"/>
            </w:tcMar>
            <w:vAlign w:val="center"/>
          </w:tcPr>
          <w:p w14:paraId="00EACDAB" w14:textId="77777777" w:rsidR="00095719" w:rsidRDefault="00A2569F">
            <w:pPr>
              <w:keepNext/>
              <w:keepLines/>
              <w:spacing w:after="0" w:line="240" w:lineRule="auto"/>
            </w:pPr>
            <w:r>
              <w:rPr>
                <w:sz w:val="18"/>
              </w:rPr>
              <w:t>Ceste, željeznice i ostali prometni objekti</w:t>
            </w:r>
          </w:p>
        </w:tc>
        <w:tc>
          <w:tcPr>
            <w:tcW w:w="700" w:type="dxa"/>
            <w:tcMar>
              <w:top w:w="0" w:type="dxa"/>
              <w:bottom w:w="0" w:type="dxa"/>
            </w:tcMar>
            <w:vAlign w:val="center"/>
          </w:tcPr>
          <w:p w14:paraId="4AE0C687" w14:textId="77777777" w:rsidR="00095719" w:rsidRDefault="00A2569F">
            <w:pPr>
              <w:keepNext/>
              <w:keepLines/>
              <w:spacing w:after="0" w:line="240" w:lineRule="auto"/>
            </w:pPr>
            <w:r>
              <w:rPr>
                <w:sz w:val="18"/>
              </w:rPr>
              <w:t>4213</w:t>
            </w:r>
          </w:p>
        </w:tc>
        <w:tc>
          <w:tcPr>
            <w:tcW w:w="1860" w:type="dxa"/>
            <w:tcMar>
              <w:top w:w="0" w:type="dxa"/>
              <w:bottom w:w="0" w:type="dxa"/>
            </w:tcMar>
            <w:vAlign w:val="center"/>
          </w:tcPr>
          <w:p w14:paraId="2C2D05BB" w14:textId="77777777" w:rsidR="00095719" w:rsidRDefault="00A2569F">
            <w:pPr>
              <w:keepNext/>
              <w:keepLines/>
              <w:spacing w:after="0" w:line="240" w:lineRule="auto"/>
              <w:jc w:val="right"/>
            </w:pPr>
            <w:r>
              <w:rPr>
                <w:sz w:val="18"/>
              </w:rPr>
              <w:t>1.378.501,84</w:t>
            </w:r>
          </w:p>
        </w:tc>
        <w:tc>
          <w:tcPr>
            <w:tcW w:w="1860" w:type="dxa"/>
            <w:tcMar>
              <w:top w:w="0" w:type="dxa"/>
              <w:bottom w:w="0" w:type="dxa"/>
            </w:tcMar>
            <w:vAlign w:val="center"/>
          </w:tcPr>
          <w:p w14:paraId="5641B052" w14:textId="77777777" w:rsidR="00095719" w:rsidRDefault="00A2569F">
            <w:pPr>
              <w:keepNext/>
              <w:keepLines/>
              <w:spacing w:after="0" w:line="240" w:lineRule="auto"/>
              <w:jc w:val="right"/>
            </w:pPr>
            <w:r>
              <w:rPr>
                <w:sz w:val="18"/>
              </w:rPr>
              <w:t>330.823,24</w:t>
            </w:r>
          </w:p>
        </w:tc>
        <w:tc>
          <w:tcPr>
            <w:tcW w:w="700" w:type="dxa"/>
            <w:tcMar>
              <w:top w:w="0" w:type="dxa"/>
              <w:bottom w:w="0" w:type="dxa"/>
            </w:tcMar>
            <w:vAlign w:val="center"/>
          </w:tcPr>
          <w:p w14:paraId="31162E61" w14:textId="77777777" w:rsidR="00095719" w:rsidRDefault="00A2569F">
            <w:pPr>
              <w:keepNext/>
              <w:keepLines/>
              <w:spacing w:after="0" w:line="240" w:lineRule="auto"/>
              <w:jc w:val="right"/>
            </w:pPr>
            <w:r>
              <w:rPr>
                <w:sz w:val="18"/>
              </w:rPr>
              <w:t>24,0</w:t>
            </w:r>
          </w:p>
        </w:tc>
      </w:tr>
    </w:tbl>
    <w:p w14:paraId="3EF87E40" w14:textId="77777777" w:rsidR="00095719" w:rsidRDefault="00095719">
      <w:pPr>
        <w:spacing w:after="0"/>
      </w:pPr>
    </w:p>
    <w:p w14:paraId="5E103E21" w14:textId="77777777" w:rsidR="00095719" w:rsidRDefault="00A2569F">
      <w:r>
        <w:t>Predmetni rashod se odnosi na izvođenje radova na pješačkoj stazi u ulici Stjepana Radića Kloštar Ivanić, rekonstrukciju ulice Ribnjak i rekonstrukciju ulice Milke Trnine.</w:t>
      </w:r>
    </w:p>
    <w:p w14:paraId="302C72DF" w14:textId="77777777" w:rsidR="00095719" w:rsidRDefault="00095719"/>
    <w:p w14:paraId="343FAAA8" w14:textId="77777777" w:rsidR="00095719" w:rsidRDefault="00A2569F">
      <w:pPr>
        <w:keepNext/>
        <w:spacing w:line="240" w:lineRule="auto"/>
        <w:jc w:val="center"/>
      </w:pPr>
      <w:r>
        <w:rPr>
          <w:sz w:val="28"/>
        </w:rPr>
        <w:t>Bilješka 16.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35B0F799" w14:textId="77777777">
        <w:trPr>
          <w:cantSplit/>
        </w:trPr>
        <w:tc>
          <w:tcPr>
            <w:tcW w:w="700" w:type="dxa"/>
            <w:shd w:val="clear" w:color="auto" w:fill="E7F0F9"/>
            <w:tcMar>
              <w:top w:w="0" w:type="dxa"/>
              <w:bottom w:w="0" w:type="dxa"/>
            </w:tcMar>
            <w:vAlign w:val="center"/>
          </w:tcPr>
          <w:p w14:paraId="0982BA1D"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72A9E28"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9026A81"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CBCA803" w14:textId="77777777" w:rsidR="00095719" w:rsidRDefault="00A2569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C864A10" w14:textId="77777777" w:rsidR="00095719" w:rsidRDefault="00A2569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6D432E3" w14:textId="77777777" w:rsidR="00095719" w:rsidRDefault="00A2569F">
            <w:pPr>
              <w:keepNext/>
              <w:keepLines/>
              <w:spacing w:after="0" w:line="240" w:lineRule="auto"/>
              <w:jc w:val="center"/>
            </w:pPr>
            <w:r>
              <w:rPr>
                <w:b/>
                <w:sz w:val="18"/>
              </w:rPr>
              <w:t>Indeks (%)</w:t>
            </w:r>
          </w:p>
        </w:tc>
      </w:tr>
      <w:tr w:rsidR="00095719" w14:paraId="25612BE6" w14:textId="77777777">
        <w:trPr>
          <w:cantSplit/>
          <w:trHeight w:val="560"/>
        </w:trPr>
        <w:tc>
          <w:tcPr>
            <w:tcW w:w="700" w:type="dxa"/>
            <w:tcMar>
              <w:top w:w="0" w:type="dxa"/>
              <w:bottom w:w="0" w:type="dxa"/>
            </w:tcMar>
            <w:vAlign w:val="center"/>
          </w:tcPr>
          <w:p w14:paraId="611766D9" w14:textId="77777777" w:rsidR="00095719" w:rsidRDefault="00A2569F">
            <w:pPr>
              <w:keepNext/>
              <w:keepLines/>
              <w:spacing w:after="0" w:line="240" w:lineRule="auto"/>
            </w:pPr>
            <w:r>
              <w:rPr>
                <w:sz w:val="18"/>
              </w:rPr>
              <w:t>8422</w:t>
            </w:r>
          </w:p>
        </w:tc>
        <w:tc>
          <w:tcPr>
            <w:tcW w:w="3180" w:type="dxa"/>
            <w:tcMar>
              <w:top w:w="0" w:type="dxa"/>
              <w:bottom w:w="0" w:type="dxa"/>
            </w:tcMar>
            <w:vAlign w:val="center"/>
          </w:tcPr>
          <w:p w14:paraId="59D16A7F" w14:textId="77777777" w:rsidR="00095719" w:rsidRDefault="00A2569F">
            <w:pPr>
              <w:keepNext/>
              <w:keepLines/>
              <w:spacing w:after="0" w:line="240" w:lineRule="auto"/>
            </w:pPr>
            <w:r>
              <w:rPr>
                <w:sz w:val="18"/>
              </w:rPr>
              <w:t>Primljeni krediti od kreditnih institucija u javnom sektoru</w:t>
            </w:r>
          </w:p>
        </w:tc>
        <w:tc>
          <w:tcPr>
            <w:tcW w:w="700" w:type="dxa"/>
            <w:tcMar>
              <w:top w:w="0" w:type="dxa"/>
              <w:bottom w:w="0" w:type="dxa"/>
            </w:tcMar>
            <w:vAlign w:val="center"/>
          </w:tcPr>
          <w:p w14:paraId="51EF77E8" w14:textId="77777777" w:rsidR="00095719" w:rsidRDefault="00A2569F">
            <w:pPr>
              <w:keepNext/>
              <w:keepLines/>
              <w:spacing w:after="0" w:line="240" w:lineRule="auto"/>
            </w:pPr>
            <w:r>
              <w:rPr>
                <w:sz w:val="18"/>
              </w:rPr>
              <w:t>8422</w:t>
            </w:r>
          </w:p>
        </w:tc>
        <w:tc>
          <w:tcPr>
            <w:tcW w:w="1860" w:type="dxa"/>
            <w:tcMar>
              <w:top w:w="0" w:type="dxa"/>
              <w:bottom w:w="0" w:type="dxa"/>
            </w:tcMar>
            <w:vAlign w:val="center"/>
          </w:tcPr>
          <w:p w14:paraId="6AD7DD17" w14:textId="77777777" w:rsidR="00095719" w:rsidRDefault="00A2569F">
            <w:pPr>
              <w:keepNext/>
              <w:keepLines/>
              <w:spacing w:after="0" w:line="240" w:lineRule="auto"/>
              <w:jc w:val="right"/>
            </w:pPr>
            <w:r>
              <w:rPr>
                <w:sz w:val="18"/>
              </w:rPr>
              <w:t>426.090,00</w:t>
            </w:r>
          </w:p>
        </w:tc>
        <w:tc>
          <w:tcPr>
            <w:tcW w:w="1860" w:type="dxa"/>
            <w:tcMar>
              <w:top w:w="0" w:type="dxa"/>
              <w:bottom w:w="0" w:type="dxa"/>
            </w:tcMar>
            <w:vAlign w:val="center"/>
          </w:tcPr>
          <w:p w14:paraId="7649A514" w14:textId="77777777" w:rsidR="00095719" w:rsidRDefault="00A2569F">
            <w:pPr>
              <w:keepNext/>
              <w:keepLines/>
              <w:spacing w:after="0" w:line="240" w:lineRule="auto"/>
              <w:jc w:val="right"/>
            </w:pPr>
            <w:r>
              <w:rPr>
                <w:sz w:val="18"/>
              </w:rPr>
              <w:t>427.000,00</w:t>
            </w:r>
          </w:p>
        </w:tc>
        <w:tc>
          <w:tcPr>
            <w:tcW w:w="700" w:type="dxa"/>
            <w:tcMar>
              <w:top w:w="0" w:type="dxa"/>
              <w:bottom w:w="0" w:type="dxa"/>
            </w:tcMar>
            <w:vAlign w:val="center"/>
          </w:tcPr>
          <w:p w14:paraId="024ED57F" w14:textId="77777777" w:rsidR="00095719" w:rsidRDefault="00A2569F">
            <w:pPr>
              <w:keepNext/>
              <w:keepLines/>
              <w:spacing w:after="0" w:line="240" w:lineRule="auto"/>
              <w:jc w:val="right"/>
            </w:pPr>
            <w:r>
              <w:rPr>
                <w:sz w:val="18"/>
              </w:rPr>
              <w:t>100,2</w:t>
            </w:r>
          </w:p>
        </w:tc>
      </w:tr>
    </w:tbl>
    <w:p w14:paraId="1BDDEA54" w14:textId="77777777" w:rsidR="00095719" w:rsidRDefault="00095719">
      <w:pPr>
        <w:spacing w:after="0"/>
      </w:pPr>
    </w:p>
    <w:p w14:paraId="2B7365D8" w14:textId="77777777" w:rsidR="00095719" w:rsidRDefault="00A2569F">
      <w:r>
        <w:t>Primljeni krediti od kreditnih institucija u javnom sektoru se odnosi na kredit za II. Dogradnju zgrade Dječjeg vrtića Proljeće Kloštar Ivanić.</w:t>
      </w:r>
    </w:p>
    <w:p w14:paraId="0516D455" w14:textId="77777777" w:rsidR="00095719" w:rsidRDefault="00095719"/>
    <w:p w14:paraId="57DC7195" w14:textId="77777777" w:rsidR="00095719" w:rsidRDefault="00A2569F">
      <w:pPr>
        <w:keepNext/>
        <w:spacing w:line="240" w:lineRule="auto"/>
        <w:jc w:val="center"/>
      </w:pPr>
      <w:r>
        <w:rPr>
          <w:b/>
          <w:sz w:val="28"/>
        </w:rPr>
        <w:t>Bilanca</w:t>
      </w:r>
    </w:p>
    <w:p w14:paraId="3EFE3D84" w14:textId="77777777" w:rsidR="00095719" w:rsidRDefault="00A2569F">
      <w:pPr>
        <w:keepNext/>
        <w:spacing w:line="240" w:lineRule="auto"/>
        <w:jc w:val="center"/>
      </w:pPr>
      <w:r>
        <w:rPr>
          <w:sz w:val="28"/>
        </w:rPr>
        <w:t>Bilješka 17.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2BAB238B" w14:textId="77777777">
        <w:trPr>
          <w:cantSplit/>
        </w:trPr>
        <w:tc>
          <w:tcPr>
            <w:tcW w:w="700" w:type="dxa"/>
            <w:shd w:val="clear" w:color="auto" w:fill="E7F0F9"/>
            <w:tcMar>
              <w:top w:w="0" w:type="dxa"/>
              <w:bottom w:w="0" w:type="dxa"/>
            </w:tcMar>
            <w:vAlign w:val="center"/>
          </w:tcPr>
          <w:p w14:paraId="3A8AC95F"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95C01DF"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9C0C956"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3F8D5DD" w14:textId="77777777" w:rsidR="00095719" w:rsidRDefault="00A2569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0C314F2A" w14:textId="77777777" w:rsidR="00095719" w:rsidRDefault="00A2569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5AB6A37F" w14:textId="77777777" w:rsidR="00095719" w:rsidRDefault="00A2569F">
            <w:pPr>
              <w:keepNext/>
              <w:keepLines/>
              <w:spacing w:after="0" w:line="240" w:lineRule="auto"/>
              <w:jc w:val="center"/>
            </w:pPr>
            <w:r>
              <w:rPr>
                <w:b/>
                <w:sz w:val="18"/>
              </w:rPr>
              <w:t>Indeks (%)</w:t>
            </w:r>
          </w:p>
        </w:tc>
      </w:tr>
      <w:tr w:rsidR="00095719" w14:paraId="1A509E13" w14:textId="77777777">
        <w:trPr>
          <w:cantSplit/>
          <w:trHeight w:val="560"/>
        </w:trPr>
        <w:tc>
          <w:tcPr>
            <w:tcW w:w="700" w:type="dxa"/>
            <w:tcMar>
              <w:top w:w="0" w:type="dxa"/>
              <w:bottom w:w="0" w:type="dxa"/>
            </w:tcMar>
            <w:vAlign w:val="center"/>
          </w:tcPr>
          <w:p w14:paraId="5F7F4E41" w14:textId="77777777" w:rsidR="00095719" w:rsidRDefault="00A2569F">
            <w:pPr>
              <w:keepNext/>
              <w:keepLines/>
              <w:spacing w:after="0" w:line="240" w:lineRule="auto"/>
            </w:pPr>
            <w:r>
              <w:rPr>
                <w:sz w:val="18"/>
              </w:rPr>
              <w:t>0212</w:t>
            </w:r>
          </w:p>
        </w:tc>
        <w:tc>
          <w:tcPr>
            <w:tcW w:w="3180" w:type="dxa"/>
            <w:tcMar>
              <w:top w:w="0" w:type="dxa"/>
              <w:bottom w:w="0" w:type="dxa"/>
            </w:tcMar>
            <w:vAlign w:val="center"/>
          </w:tcPr>
          <w:p w14:paraId="31EA0DBF" w14:textId="77777777" w:rsidR="00095719" w:rsidRDefault="00A2569F">
            <w:pPr>
              <w:keepNext/>
              <w:keepLines/>
              <w:spacing w:after="0" w:line="240" w:lineRule="auto"/>
            </w:pPr>
            <w:r>
              <w:rPr>
                <w:sz w:val="18"/>
              </w:rPr>
              <w:t>Poslovni objekti</w:t>
            </w:r>
          </w:p>
        </w:tc>
        <w:tc>
          <w:tcPr>
            <w:tcW w:w="700" w:type="dxa"/>
            <w:tcMar>
              <w:top w:w="0" w:type="dxa"/>
              <w:bottom w:w="0" w:type="dxa"/>
            </w:tcMar>
            <w:vAlign w:val="center"/>
          </w:tcPr>
          <w:p w14:paraId="7B1E3512" w14:textId="77777777" w:rsidR="00095719" w:rsidRDefault="00A2569F">
            <w:pPr>
              <w:keepNext/>
              <w:keepLines/>
              <w:spacing w:after="0" w:line="240" w:lineRule="auto"/>
            </w:pPr>
            <w:r>
              <w:rPr>
                <w:sz w:val="18"/>
              </w:rPr>
              <w:t>0212</w:t>
            </w:r>
          </w:p>
        </w:tc>
        <w:tc>
          <w:tcPr>
            <w:tcW w:w="1860" w:type="dxa"/>
            <w:tcMar>
              <w:top w:w="0" w:type="dxa"/>
              <w:bottom w:w="0" w:type="dxa"/>
            </w:tcMar>
            <w:vAlign w:val="center"/>
          </w:tcPr>
          <w:p w14:paraId="50E6E7D4" w14:textId="77777777" w:rsidR="00095719" w:rsidRDefault="00A2569F">
            <w:pPr>
              <w:keepNext/>
              <w:keepLines/>
              <w:spacing w:after="0" w:line="240" w:lineRule="auto"/>
              <w:jc w:val="right"/>
            </w:pPr>
            <w:r>
              <w:rPr>
                <w:sz w:val="18"/>
              </w:rPr>
              <w:t>5.117.979,13</w:t>
            </w:r>
          </w:p>
        </w:tc>
        <w:tc>
          <w:tcPr>
            <w:tcW w:w="1860" w:type="dxa"/>
            <w:tcMar>
              <w:top w:w="0" w:type="dxa"/>
              <w:bottom w:w="0" w:type="dxa"/>
            </w:tcMar>
            <w:vAlign w:val="center"/>
          </w:tcPr>
          <w:p w14:paraId="45588642" w14:textId="77777777" w:rsidR="00095719" w:rsidRDefault="00A2569F">
            <w:pPr>
              <w:keepNext/>
              <w:keepLines/>
              <w:spacing w:after="0" w:line="240" w:lineRule="auto"/>
              <w:jc w:val="right"/>
            </w:pPr>
            <w:r>
              <w:rPr>
                <w:sz w:val="18"/>
              </w:rPr>
              <w:t>6.111.246,81</w:t>
            </w:r>
          </w:p>
        </w:tc>
        <w:tc>
          <w:tcPr>
            <w:tcW w:w="700" w:type="dxa"/>
            <w:tcMar>
              <w:top w:w="0" w:type="dxa"/>
              <w:bottom w:w="0" w:type="dxa"/>
            </w:tcMar>
            <w:vAlign w:val="center"/>
          </w:tcPr>
          <w:p w14:paraId="70236E6F" w14:textId="77777777" w:rsidR="00095719" w:rsidRDefault="00A2569F">
            <w:pPr>
              <w:keepNext/>
              <w:keepLines/>
              <w:spacing w:after="0" w:line="240" w:lineRule="auto"/>
              <w:jc w:val="right"/>
            </w:pPr>
            <w:r>
              <w:rPr>
                <w:sz w:val="18"/>
              </w:rPr>
              <w:t>119,4</w:t>
            </w:r>
          </w:p>
        </w:tc>
      </w:tr>
    </w:tbl>
    <w:p w14:paraId="21CCFB39" w14:textId="77777777" w:rsidR="00095719" w:rsidRDefault="00095719">
      <w:pPr>
        <w:spacing w:after="0"/>
      </w:pPr>
    </w:p>
    <w:p w14:paraId="4FCE75A6" w14:textId="77777777" w:rsidR="00095719" w:rsidRDefault="00A2569F">
      <w:r>
        <w:t>Poslovni objekti - u 2025. godini djelomično je izvršena II. Dogradnja zgrade Dječjeg vrtića Proljeće Kloštar Ivanić u iznosu 701.895,00 eura.</w:t>
      </w:r>
    </w:p>
    <w:p w14:paraId="3E844722" w14:textId="77777777" w:rsidR="00095719" w:rsidRDefault="00095719"/>
    <w:p w14:paraId="73A9B76B" w14:textId="77777777" w:rsidR="00095719" w:rsidRDefault="00A2569F">
      <w:pPr>
        <w:keepNext/>
        <w:spacing w:line="240" w:lineRule="auto"/>
        <w:jc w:val="center"/>
      </w:pPr>
      <w:r>
        <w:rPr>
          <w:sz w:val="28"/>
        </w:rPr>
        <w:lastRenderedPageBreak/>
        <w:t>Bilješka 18.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4CB47B25" w14:textId="77777777">
        <w:trPr>
          <w:cantSplit/>
        </w:trPr>
        <w:tc>
          <w:tcPr>
            <w:tcW w:w="700" w:type="dxa"/>
            <w:shd w:val="clear" w:color="auto" w:fill="E7F0F9"/>
            <w:tcMar>
              <w:top w:w="0" w:type="dxa"/>
              <w:bottom w:w="0" w:type="dxa"/>
            </w:tcMar>
            <w:vAlign w:val="center"/>
          </w:tcPr>
          <w:p w14:paraId="50EE7C6E"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8286BD7"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1BDF5D0"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F8C1D2F" w14:textId="77777777" w:rsidR="00095719" w:rsidRDefault="00A2569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D4847D9" w14:textId="77777777" w:rsidR="00095719" w:rsidRDefault="00A2569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8F93D61" w14:textId="77777777" w:rsidR="00095719" w:rsidRDefault="00A2569F">
            <w:pPr>
              <w:keepNext/>
              <w:keepLines/>
              <w:spacing w:after="0" w:line="240" w:lineRule="auto"/>
              <w:jc w:val="center"/>
            </w:pPr>
            <w:r>
              <w:rPr>
                <w:b/>
                <w:sz w:val="18"/>
              </w:rPr>
              <w:t>Indeks (%)</w:t>
            </w:r>
          </w:p>
        </w:tc>
      </w:tr>
      <w:tr w:rsidR="00095719" w14:paraId="56232E6D" w14:textId="77777777">
        <w:trPr>
          <w:cantSplit/>
          <w:trHeight w:val="560"/>
        </w:trPr>
        <w:tc>
          <w:tcPr>
            <w:tcW w:w="700" w:type="dxa"/>
            <w:tcMar>
              <w:top w:w="0" w:type="dxa"/>
              <w:bottom w:w="0" w:type="dxa"/>
            </w:tcMar>
            <w:vAlign w:val="center"/>
          </w:tcPr>
          <w:p w14:paraId="42E50A2A" w14:textId="77777777" w:rsidR="00095719" w:rsidRDefault="00A2569F">
            <w:pPr>
              <w:keepNext/>
              <w:keepLines/>
              <w:spacing w:after="0" w:line="240" w:lineRule="auto"/>
            </w:pPr>
            <w:r>
              <w:rPr>
                <w:sz w:val="18"/>
              </w:rPr>
              <w:t>0213</w:t>
            </w:r>
          </w:p>
        </w:tc>
        <w:tc>
          <w:tcPr>
            <w:tcW w:w="3180" w:type="dxa"/>
            <w:tcMar>
              <w:top w:w="0" w:type="dxa"/>
              <w:bottom w:w="0" w:type="dxa"/>
            </w:tcMar>
            <w:vAlign w:val="center"/>
          </w:tcPr>
          <w:p w14:paraId="67C3D149" w14:textId="77777777" w:rsidR="00095719" w:rsidRDefault="00A2569F">
            <w:pPr>
              <w:keepNext/>
              <w:keepLines/>
              <w:spacing w:after="0" w:line="240" w:lineRule="auto"/>
            </w:pPr>
            <w:r>
              <w:rPr>
                <w:sz w:val="18"/>
              </w:rPr>
              <w:t>Ceste, željeznice i ostali prometni objekti</w:t>
            </w:r>
          </w:p>
        </w:tc>
        <w:tc>
          <w:tcPr>
            <w:tcW w:w="700" w:type="dxa"/>
            <w:tcMar>
              <w:top w:w="0" w:type="dxa"/>
              <w:bottom w:w="0" w:type="dxa"/>
            </w:tcMar>
            <w:vAlign w:val="center"/>
          </w:tcPr>
          <w:p w14:paraId="5E40CA2A" w14:textId="77777777" w:rsidR="00095719" w:rsidRDefault="00A2569F">
            <w:pPr>
              <w:keepNext/>
              <w:keepLines/>
              <w:spacing w:after="0" w:line="240" w:lineRule="auto"/>
            </w:pPr>
            <w:r>
              <w:rPr>
                <w:sz w:val="18"/>
              </w:rPr>
              <w:t>0213</w:t>
            </w:r>
          </w:p>
        </w:tc>
        <w:tc>
          <w:tcPr>
            <w:tcW w:w="1860" w:type="dxa"/>
            <w:tcMar>
              <w:top w:w="0" w:type="dxa"/>
              <w:bottom w:w="0" w:type="dxa"/>
            </w:tcMar>
            <w:vAlign w:val="center"/>
          </w:tcPr>
          <w:p w14:paraId="769895A1" w14:textId="77777777" w:rsidR="00095719" w:rsidRDefault="00A2569F">
            <w:pPr>
              <w:keepNext/>
              <w:keepLines/>
              <w:spacing w:after="0" w:line="240" w:lineRule="auto"/>
              <w:jc w:val="right"/>
            </w:pPr>
            <w:r>
              <w:rPr>
                <w:sz w:val="18"/>
              </w:rPr>
              <w:t>3.838.085,81</w:t>
            </w:r>
          </w:p>
        </w:tc>
        <w:tc>
          <w:tcPr>
            <w:tcW w:w="1860" w:type="dxa"/>
            <w:tcMar>
              <w:top w:w="0" w:type="dxa"/>
              <w:bottom w:w="0" w:type="dxa"/>
            </w:tcMar>
            <w:vAlign w:val="center"/>
          </w:tcPr>
          <w:p w14:paraId="56B142AA" w14:textId="77777777" w:rsidR="00095719" w:rsidRDefault="00A2569F">
            <w:pPr>
              <w:keepNext/>
              <w:keepLines/>
              <w:spacing w:after="0" w:line="240" w:lineRule="auto"/>
              <w:jc w:val="right"/>
            </w:pPr>
            <w:r>
              <w:rPr>
                <w:sz w:val="18"/>
              </w:rPr>
              <w:t>4.079.261,77</w:t>
            </w:r>
          </w:p>
        </w:tc>
        <w:tc>
          <w:tcPr>
            <w:tcW w:w="700" w:type="dxa"/>
            <w:tcMar>
              <w:top w:w="0" w:type="dxa"/>
              <w:bottom w:w="0" w:type="dxa"/>
            </w:tcMar>
            <w:vAlign w:val="center"/>
          </w:tcPr>
          <w:p w14:paraId="6957534A" w14:textId="77777777" w:rsidR="00095719" w:rsidRDefault="00A2569F">
            <w:pPr>
              <w:keepNext/>
              <w:keepLines/>
              <w:spacing w:after="0" w:line="240" w:lineRule="auto"/>
              <w:jc w:val="right"/>
            </w:pPr>
            <w:r>
              <w:rPr>
                <w:sz w:val="18"/>
              </w:rPr>
              <w:t>106,3</w:t>
            </w:r>
          </w:p>
        </w:tc>
      </w:tr>
    </w:tbl>
    <w:p w14:paraId="1EB8DEB2" w14:textId="77777777" w:rsidR="00095719" w:rsidRDefault="00095719">
      <w:pPr>
        <w:spacing w:after="0"/>
      </w:pPr>
    </w:p>
    <w:p w14:paraId="35441700" w14:textId="77777777" w:rsidR="00095719" w:rsidRDefault="00A2569F">
      <w:r>
        <w:t xml:space="preserve">Ceste, željeznice i ostali prometni projekti - u 2025. godini izvršeno je izvođenje radova na </w:t>
      </w:r>
      <w:proofErr w:type="spellStart"/>
      <w:r>
        <w:t>pješakoj</w:t>
      </w:r>
      <w:proofErr w:type="spellEnd"/>
      <w:r>
        <w:t xml:space="preserve"> stazi u ulici Stjepana Radića u iznosu 312.160,26 eura, rekonstrukcija ulice Ribnjak u iznosu 17.330,48 eura te rekonstrukcija ulice Milke Trnine u iznosu 1.332,50 eura.</w:t>
      </w:r>
    </w:p>
    <w:p w14:paraId="103327A8" w14:textId="77777777" w:rsidR="00095719" w:rsidRDefault="00095719"/>
    <w:p w14:paraId="1585048B" w14:textId="77777777" w:rsidR="00095719" w:rsidRDefault="00A2569F">
      <w:pPr>
        <w:keepNext/>
        <w:spacing w:line="240" w:lineRule="auto"/>
        <w:jc w:val="center"/>
      </w:pPr>
      <w:r>
        <w:rPr>
          <w:sz w:val="28"/>
        </w:rPr>
        <w:t>Bilješka 19.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7AB56B38" w14:textId="77777777">
        <w:trPr>
          <w:cantSplit/>
        </w:trPr>
        <w:tc>
          <w:tcPr>
            <w:tcW w:w="700" w:type="dxa"/>
            <w:shd w:val="clear" w:color="auto" w:fill="E7F0F9"/>
            <w:tcMar>
              <w:top w:w="0" w:type="dxa"/>
              <w:bottom w:w="0" w:type="dxa"/>
            </w:tcMar>
            <w:vAlign w:val="center"/>
          </w:tcPr>
          <w:p w14:paraId="2B0BF7ED"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533181E"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430E249"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265C484" w14:textId="77777777" w:rsidR="00095719" w:rsidRDefault="00A2569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0530C610" w14:textId="77777777" w:rsidR="00095719" w:rsidRDefault="00A2569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B2AF994" w14:textId="77777777" w:rsidR="00095719" w:rsidRDefault="00A2569F">
            <w:pPr>
              <w:keepNext/>
              <w:keepLines/>
              <w:spacing w:after="0" w:line="240" w:lineRule="auto"/>
              <w:jc w:val="center"/>
            </w:pPr>
            <w:r>
              <w:rPr>
                <w:b/>
                <w:sz w:val="18"/>
              </w:rPr>
              <w:t>Indeks (%)</w:t>
            </w:r>
          </w:p>
        </w:tc>
      </w:tr>
      <w:tr w:rsidR="00095719" w14:paraId="05A574AB" w14:textId="77777777">
        <w:trPr>
          <w:cantSplit/>
          <w:trHeight w:val="560"/>
        </w:trPr>
        <w:tc>
          <w:tcPr>
            <w:tcW w:w="700" w:type="dxa"/>
            <w:tcMar>
              <w:top w:w="0" w:type="dxa"/>
              <w:bottom w:w="0" w:type="dxa"/>
            </w:tcMar>
            <w:vAlign w:val="center"/>
          </w:tcPr>
          <w:p w14:paraId="1CDF35FD" w14:textId="77777777" w:rsidR="00095719" w:rsidRDefault="00A2569F">
            <w:pPr>
              <w:keepNext/>
              <w:keepLines/>
              <w:spacing w:after="0" w:line="240" w:lineRule="auto"/>
            </w:pPr>
            <w:r>
              <w:rPr>
                <w:sz w:val="18"/>
              </w:rPr>
              <w:t>991</w:t>
            </w:r>
          </w:p>
        </w:tc>
        <w:tc>
          <w:tcPr>
            <w:tcW w:w="3180" w:type="dxa"/>
            <w:tcMar>
              <w:top w:w="0" w:type="dxa"/>
              <w:bottom w:w="0" w:type="dxa"/>
            </w:tcMar>
            <w:vAlign w:val="center"/>
          </w:tcPr>
          <w:p w14:paraId="3A26DB17" w14:textId="77777777" w:rsidR="00095719" w:rsidRDefault="00A2569F">
            <w:pPr>
              <w:keepNext/>
              <w:keepLines/>
              <w:spacing w:after="0" w:line="240" w:lineRule="auto"/>
            </w:pPr>
            <w:proofErr w:type="spellStart"/>
            <w:r>
              <w:rPr>
                <w:sz w:val="18"/>
              </w:rPr>
              <w:t>Izvanbilančni</w:t>
            </w:r>
            <w:proofErr w:type="spellEnd"/>
            <w:r>
              <w:rPr>
                <w:sz w:val="18"/>
              </w:rPr>
              <w:t xml:space="preserve"> zapisi - aktiva (šifra 996)</w:t>
            </w:r>
          </w:p>
        </w:tc>
        <w:tc>
          <w:tcPr>
            <w:tcW w:w="700" w:type="dxa"/>
            <w:tcMar>
              <w:top w:w="0" w:type="dxa"/>
              <w:bottom w:w="0" w:type="dxa"/>
            </w:tcMar>
            <w:vAlign w:val="center"/>
          </w:tcPr>
          <w:p w14:paraId="7FAFD353" w14:textId="77777777" w:rsidR="00095719" w:rsidRDefault="00A2569F">
            <w:pPr>
              <w:keepNext/>
              <w:keepLines/>
              <w:spacing w:after="0" w:line="240" w:lineRule="auto"/>
            </w:pPr>
            <w:r>
              <w:rPr>
                <w:sz w:val="18"/>
              </w:rPr>
              <w:t>991</w:t>
            </w:r>
          </w:p>
        </w:tc>
        <w:tc>
          <w:tcPr>
            <w:tcW w:w="1860" w:type="dxa"/>
            <w:tcMar>
              <w:top w:w="0" w:type="dxa"/>
              <w:bottom w:w="0" w:type="dxa"/>
            </w:tcMar>
            <w:vAlign w:val="center"/>
          </w:tcPr>
          <w:p w14:paraId="174B0C6B" w14:textId="77777777" w:rsidR="00095719" w:rsidRDefault="00A2569F">
            <w:pPr>
              <w:keepNext/>
              <w:keepLines/>
              <w:spacing w:after="0" w:line="240" w:lineRule="auto"/>
              <w:jc w:val="right"/>
            </w:pPr>
            <w:r>
              <w:rPr>
                <w:sz w:val="18"/>
              </w:rPr>
              <w:t>4.092.762,90</w:t>
            </w:r>
          </w:p>
        </w:tc>
        <w:tc>
          <w:tcPr>
            <w:tcW w:w="1860" w:type="dxa"/>
            <w:tcMar>
              <w:top w:w="0" w:type="dxa"/>
              <w:bottom w:w="0" w:type="dxa"/>
            </w:tcMar>
            <w:vAlign w:val="center"/>
          </w:tcPr>
          <w:p w14:paraId="352822B0" w14:textId="77777777" w:rsidR="00095719" w:rsidRDefault="00A2569F">
            <w:pPr>
              <w:keepNext/>
              <w:keepLines/>
              <w:spacing w:after="0" w:line="240" w:lineRule="auto"/>
              <w:jc w:val="right"/>
            </w:pPr>
            <w:r>
              <w:rPr>
                <w:sz w:val="18"/>
              </w:rPr>
              <w:t>4.543.187,65</w:t>
            </w:r>
          </w:p>
        </w:tc>
        <w:tc>
          <w:tcPr>
            <w:tcW w:w="700" w:type="dxa"/>
            <w:tcMar>
              <w:top w:w="0" w:type="dxa"/>
              <w:bottom w:w="0" w:type="dxa"/>
            </w:tcMar>
            <w:vAlign w:val="center"/>
          </w:tcPr>
          <w:p w14:paraId="5FC78E28" w14:textId="77777777" w:rsidR="00095719" w:rsidRDefault="00A2569F">
            <w:pPr>
              <w:keepNext/>
              <w:keepLines/>
              <w:spacing w:after="0" w:line="240" w:lineRule="auto"/>
              <w:jc w:val="right"/>
            </w:pPr>
            <w:r>
              <w:rPr>
                <w:sz w:val="18"/>
              </w:rPr>
              <w:t>111,0</w:t>
            </w:r>
          </w:p>
        </w:tc>
      </w:tr>
    </w:tbl>
    <w:p w14:paraId="37797952" w14:textId="77777777" w:rsidR="00095719" w:rsidRDefault="00095719">
      <w:pPr>
        <w:spacing w:after="0"/>
      </w:pPr>
    </w:p>
    <w:p w14:paraId="4A301747" w14:textId="77777777" w:rsidR="00095719" w:rsidRDefault="00A2569F">
      <w:proofErr w:type="spellStart"/>
      <w:r>
        <w:t>Izvanbilanči</w:t>
      </w:r>
      <w:proofErr w:type="spellEnd"/>
      <w:r>
        <w:t xml:space="preserve"> zapisi - aktiva i pasiva sastoje se od:</w:t>
      </w:r>
    </w:p>
    <w:p w14:paraId="31F9EC7D" w14:textId="77777777" w:rsidR="00095719" w:rsidRDefault="00A2569F">
      <w:r>
        <w:t>Primljenih instrumenata osiguranja plaćanja u iznosu 1.060.115,65 eura i</w:t>
      </w:r>
    </w:p>
    <w:p w14:paraId="5BF24E40" w14:textId="77777777" w:rsidR="00095719" w:rsidRDefault="00A2569F">
      <w:r>
        <w:t>Izdanih instrumenata osiguranja plaćanja u iznosu 3.483.072,00 eura.</w:t>
      </w:r>
    </w:p>
    <w:p w14:paraId="79B0DB17" w14:textId="77777777" w:rsidR="00095719" w:rsidRDefault="00095719"/>
    <w:p w14:paraId="10D20C80" w14:textId="77777777" w:rsidR="00095719" w:rsidRDefault="00A2569F">
      <w:pPr>
        <w:keepNext/>
        <w:spacing w:line="240" w:lineRule="auto"/>
        <w:jc w:val="center"/>
      </w:pPr>
      <w:r>
        <w:rPr>
          <w:b/>
          <w:sz w:val="28"/>
        </w:rPr>
        <w:t>Promjene u vrijednosti i obujmu imovine i obveza</w:t>
      </w:r>
    </w:p>
    <w:p w14:paraId="653649D0" w14:textId="77777777" w:rsidR="00095719" w:rsidRDefault="00A2569F">
      <w:pPr>
        <w:keepNext/>
        <w:spacing w:line="240" w:lineRule="auto"/>
        <w:jc w:val="center"/>
      </w:pPr>
      <w:r>
        <w:rPr>
          <w:sz w:val="28"/>
        </w:rPr>
        <w:t>Bilješka 20.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45D0FA22" w14:textId="77777777">
        <w:trPr>
          <w:cantSplit/>
        </w:trPr>
        <w:tc>
          <w:tcPr>
            <w:tcW w:w="700" w:type="dxa"/>
            <w:shd w:val="clear" w:color="auto" w:fill="E7F0F9"/>
            <w:tcMar>
              <w:top w:w="0" w:type="dxa"/>
              <w:bottom w:w="0" w:type="dxa"/>
            </w:tcMar>
            <w:vAlign w:val="center"/>
          </w:tcPr>
          <w:p w14:paraId="6EBA9D0E"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82822E4"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6CF4199"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81449F8" w14:textId="77777777" w:rsidR="00095719" w:rsidRDefault="00A2569F">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1D66A290" w14:textId="77777777" w:rsidR="00095719" w:rsidRDefault="00A2569F">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05771E45" w14:textId="77777777" w:rsidR="00095719" w:rsidRDefault="00A2569F">
            <w:pPr>
              <w:keepNext/>
              <w:keepLines/>
              <w:spacing w:after="0" w:line="240" w:lineRule="auto"/>
              <w:jc w:val="center"/>
            </w:pPr>
            <w:r>
              <w:rPr>
                <w:b/>
                <w:sz w:val="18"/>
              </w:rPr>
              <w:t>Indeks (%)</w:t>
            </w:r>
          </w:p>
        </w:tc>
      </w:tr>
      <w:tr w:rsidR="00095719" w14:paraId="25461B56" w14:textId="77777777">
        <w:trPr>
          <w:cantSplit/>
          <w:trHeight w:val="560"/>
        </w:trPr>
        <w:tc>
          <w:tcPr>
            <w:tcW w:w="700" w:type="dxa"/>
            <w:tcMar>
              <w:top w:w="0" w:type="dxa"/>
              <w:bottom w:w="0" w:type="dxa"/>
            </w:tcMar>
            <w:vAlign w:val="center"/>
          </w:tcPr>
          <w:p w14:paraId="7D18C59C" w14:textId="77777777" w:rsidR="00095719" w:rsidRDefault="00095719">
            <w:pPr>
              <w:keepNext/>
              <w:keepLines/>
              <w:spacing w:after="0" w:line="240" w:lineRule="auto"/>
            </w:pPr>
          </w:p>
        </w:tc>
        <w:tc>
          <w:tcPr>
            <w:tcW w:w="3180" w:type="dxa"/>
            <w:tcMar>
              <w:top w:w="0" w:type="dxa"/>
              <w:bottom w:w="0" w:type="dxa"/>
            </w:tcMar>
            <w:vAlign w:val="center"/>
          </w:tcPr>
          <w:p w14:paraId="3A61FB04" w14:textId="77777777" w:rsidR="00095719" w:rsidRDefault="00A2569F">
            <w:pPr>
              <w:keepNext/>
              <w:keepLines/>
              <w:spacing w:after="0" w:line="240" w:lineRule="auto"/>
            </w:pPr>
            <w:r>
              <w:rPr>
                <w:sz w:val="18"/>
              </w:rPr>
              <w:t>Promjene u vrijednosti nefinancijske imovine (šifre P002 do P007)</w:t>
            </w:r>
          </w:p>
        </w:tc>
        <w:tc>
          <w:tcPr>
            <w:tcW w:w="700" w:type="dxa"/>
            <w:tcMar>
              <w:top w:w="0" w:type="dxa"/>
              <w:bottom w:w="0" w:type="dxa"/>
            </w:tcMar>
            <w:vAlign w:val="center"/>
          </w:tcPr>
          <w:p w14:paraId="5BE7A058" w14:textId="77777777" w:rsidR="00095719" w:rsidRDefault="00A2569F">
            <w:pPr>
              <w:keepNext/>
              <w:keepLines/>
              <w:spacing w:after="0" w:line="240" w:lineRule="auto"/>
            </w:pPr>
            <w:r>
              <w:rPr>
                <w:sz w:val="18"/>
              </w:rPr>
              <w:t>P001</w:t>
            </w:r>
          </w:p>
        </w:tc>
        <w:tc>
          <w:tcPr>
            <w:tcW w:w="1860" w:type="dxa"/>
            <w:tcMar>
              <w:top w:w="0" w:type="dxa"/>
              <w:bottom w:w="0" w:type="dxa"/>
            </w:tcMar>
            <w:vAlign w:val="center"/>
          </w:tcPr>
          <w:p w14:paraId="5FFF2C47" w14:textId="77777777" w:rsidR="00095719" w:rsidRDefault="00A2569F">
            <w:pPr>
              <w:keepNext/>
              <w:keepLines/>
              <w:spacing w:after="0" w:line="240" w:lineRule="auto"/>
              <w:jc w:val="right"/>
            </w:pPr>
            <w:r>
              <w:rPr>
                <w:sz w:val="18"/>
              </w:rPr>
              <w:t>0,00</w:t>
            </w:r>
          </w:p>
        </w:tc>
        <w:tc>
          <w:tcPr>
            <w:tcW w:w="1860" w:type="dxa"/>
            <w:tcMar>
              <w:top w:w="0" w:type="dxa"/>
              <w:bottom w:w="0" w:type="dxa"/>
            </w:tcMar>
            <w:vAlign w:val="center"/>
          </w:tcPr>
          <w:p w14:paraId="5B52979A" w14:textId="77777777" w:rsidR="00095719" w:rsidRDefault="00A2569F">
            <w:pPr>
              <w:keepNext/>
              <w:keepLines/>
              <w:spacing w:after="0" w:line="240" w:lineRule="auto"/>
              <w:jc w:val="right"/>
            </w:pPr>
            <w:r>
              <w:rPr>
                <w:sz w:val="18"/>
              </w:rPr>
              <w:t>132.859,95</w:t>
            </w:r>
          </w:p>
        </w:tc>
        <w:tc>
          <w:tcPr>
            <w:tcW w:w="700" w:type="dxa"/>
            <w:tcMar>
              <w:top w:w="0" w:type="dxa"/>
              <w:bottom w:w="0" w:type="dxa"/>
            </w:tcMar>
            <w:vAlign w:val="center"/>
          </w:tcPr>
          <w:p w14:paraId="0A8ED9CC" w14:textId="77777777" w:rsidR="00095719" w:rsidRDefault="00A2569F">
            <w:pPr>
              <w:keepNext/>
              <w:keepLines/>
              <w:spacing w:after="0" w:line="240" w:lineRule="auto"/>
              <w:jc w:val="right"/>
            </w:pPr>
            <w:r>
              <w:rPr>
                <w:sz w:val="18"/>
              </w:rPr>
              <w:t>-</w:t>
            </w:r>
          </w:p>
        </w:tc>
      </w:tr>
    </w:tbl>
    <w:p w14:paraId="0D937CE0" w14:textId="77777777" w:rsidR="00095719" w:rsidRDefault="00095719">
      <w:pPr>
        <w:spacing w:after="0"/>
      </w:pPr>
    </w:p>
    <w:p w14:paraId="6E2A4D8D" w14:textId="77777777" w:rsidR="00095719" w:rsidRDefault="00A2569F">
      <w:r>
        <w:t>Promjene u vrijednosti nefinancijske imovine - u 2025. godini otpisano je nefinancijske imovine po inventuri u vrijednosti 132.859,95 eura. Od ukupnog iznosa 127.805,25 eura odnosi se na otpis nerazvrstanih cesta. Naime, izvršene su promjene u sklopu provjere provedbe naloga i preporuka danih u Reviziji učinkovitosti upravljanja komunalnom infrastrukturom.</w:t>
      </w:r>
    </w:p>
    <w:p w14:paraId="67EE128E" w14:textId="77777777" w:rsidR="00095719" w:rsidRDefault="00095719"/>
    <w:p w14:paraId="334AC700" w14:textId="77777777" w:rsidR="00095719" w:rsidRDefault="00A2569F">
      <w:pPr>
        <w:keepNext/>
        <w:spacing w:line="240" w:lineRule="auto"/>
        <w:jc w:val="center"/>
      </w:pPr>
      <w:r>
        <w:rPr>
          <w:sz w:val="28"/>
        </w:rPr>
        <w:lastRenderedPageBreak/>
        <w:t>Bilješka 21.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2C0533DE" w14:textId="77777777">
        <w:trPr>
          <w:cantSplit/>
        </w:trPr>
        <w:tc>
          <w:tcPr>
            <w:tcW w:w="700" w:type="dxa"/>
            <w:shd w:val="clear" w:color="auto" w:fill="E7F0F9"/>
            <w:tcMar>
              <w:top w:w="0" w:type="dxa"/>
              <w:bottom w:w="0" w:type="dxa"/>
            </w:tcMar>
            <w:vAlign w:val="center"/>
          </w:tcPr>
          <w:p w14:paraId="56C116AD"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88FD638"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11A0759"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E98B579" w14:textId="77777777" w:rsidR="00095719" w:rsidRDefault="00A2569F">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7376E27B" w14:textId="77777777" w:rsidR="00095719" w:rsidRDefault="00A2569F">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32DB8EE2" w14:textId="77777777" w:rsidR="00095719" w:rsidRDefault="00A2569F">
            <w:pPr>
              <w:keepNext/>
              <w:keepLines/>
              <w:spacing w:after="0" w:line="240" w:lineRule="auto"/>
              <w:jc w:val="center"/>
            </w:pPr>
            <w:r>
              <w:rPr>
                <w:b/>
                <w:sz w:val="18"/>
              </w:rPr>
              <w:t>Indeks (%)</w:t>
            </w:r>
          </w:p>
        </w:tc>
      </w:tr>
      <w:tr w:rsidR="00095719" w14:paraId="21A39FAE" w14:textId="77777777">
        <w:trPr>
          <w:cantSplit/>
          <w:trHeight w:val="560"/>
        </w:trPr>
        <w:tc>
          <w:tcPr>
            <w:tcW w:w="700" w:type="dxa"/>
            <w:tcMar>
              <w:top w:w="0" w:type="dxa"/>
              <w:bottom w:w="0" w:type="dxa"/>
            </w:tcMar>
            <w:vAlign w:val="center"/>
          </w:tcPr>
          <w:p w14:paraId="5EA3953A" w14:textId="77777777" w:rsidR="00095719" w:rsidRDefault="00095719">
            <w:pPr>
              <w:keepNext/>
              <w:keepLines/>
              <w:spacing w:after="0" w:line="240" w:lineRule="auto"/>
            </w:pPr>
          </w:p>
        </w:tc>
        <w:tc>
          <w:tcPr>
            <w:tcW w:w="3180" w:type="dxa"/>
            <w:tcMar>
              <w:top w:w="0" w:type="dxa"/>
              <w:bottom w:w="0" w:type="dxa"/>
            </w:tcMar>
            <w:vAlign w:val="center"/>
          </w:tcPr>
          <w:p w14:paraId="44A0BA25" w14:textId="77777777" w:rsidR="00095719" w:rsidRDefault="00A2569F">
            <w:pPr>
              <w:keepNext/>
              <w:keepLines/>
              <w:spacing w:after="0" w:line="240" w:lineRule="auto"/>
            </w:pPr>
            <w:r>
              <w:rPr>
                <w:sz w:val="18"/>
              </w:rPr>
              <w:t>Promjene u vrijednosti financijske imovine (šifre P009 do P015)</w:t>
            </w:r>
          </w:p>
        </w:tc>
        <w:tc>
          <w:tcPr>
            <w:tcW w:w="700" w:type="dxa"/>
            <w:tcMar>
              <w:top w:w="0" w:type="dxa"/>
              <w:bottom w:w="0" w:type="dxa"/>
            </w:tcMar>
            <w:vAlign w:val="center"/>
          </w:tcPr>
          <w:p w14:paraId="651202BE" w14:textId="77777777" w:rsidR="00095719" w:rsidRDefault="00A2569F">
            <w:pPr>
              <w:keepNext/>
              <w:keepLines/>
              <w:spacing w:after="0" w:line="240" w:lineRule="auto"/>
            </w:pPr>
            <w:r>
              <w:rPr>
                <w:sz w:val="18"/>
              </w:rPr>
              <w:t>P008</w:t>
            </w:r>
          </w:p>
        </w:tc>
        <w:tc>
          <w:tcPr>
            <w:tcW w:w="1860" w:type="dxa"/>
            <w:tcMar>
              <w:top w:w="0" w:type="dxa"/>
              <w:bottom w:w="0" w:type="dxa"/>
            </w:tcMar>
            <w:vAlign w:val="center"/>
          </w:tcPr>
          <w:p w14:paraId="7F00230A" w14:textId="77777777" w:rsidR="00095719" w:rsidRDefault="00A2569F">
            <w:pPr>
              <w:keepNext/>
              <w:keepLines/>
              <w:spacing w:after="0" w:line="240" w:lineRule="auto"/>
              <w:jc w:val="right"/>
            </w:pPr>
            <w:r>
              <w:rPr>
                <w:sz w:val="18"/>
              </w:rPr>
              <w:t>16,44</w:t>
            </w:r>
          </w:p>
        </w:tc>
        <w:tc>
          <w:tcPr>
            <w:tcW w:w="1860" w:type="dxa"/>
            <w:tcMar>
              <w:top w:w="0" w:type="dxa"/>
              <w:bottom w:w="0" w:type="dxa"/>
            </w:tcMar>
            <w:vAlign w:val="center"/>
          </w:tcPr>
          <w:p w14:paraId="434D25AD" w14:textId="77777777" w:rsidR="00095719" w:rsidRDefault="00A2569F">
            <w:pPr>
              <w:keepNext/>
              <w:keepLines/>
              <w:spacing w:after="0" w:line="240" w:lineRule="auto"/>
              <w:jc w:val="right"/>
            </w:pPr>
            <w:r>
              <w:rPr>
                <w:sz w:val="18"/>
              </w:rPr>
              <w:t>10,55</w:t>
            </w:r>
          </w:p>
        </w:tc>
        <w:tc>
          <w:tcPr>
            <w:tcW w:w="700" w:type="dxa"/>
            <w:tcMar>
              <w:top w:w="0" w:type="dxa"/>
              <w:bottom w:w="0" w:type="dxa"/>
            </w:tcMar>
            <w:vAlign w:val="center"/>
          </w:tcPr>
          <w:p w14:paraId="01AB3F2F" w14:textId="77777777" w:rsidR="00095719" w:rsidRDefault="00A2569F">
            <w:pPr>
              <w:keepNext/>
              <w:keepLines/>
              <w:spacing w:after="0" w:line="240" w:lineRule="auto"/>
              <w:jc w:val="right"/>
            </w:pPr>
            <w:r>
              <w:rPr>
                <w:sz w:val="18"/>
              </w:rPr>
              <w:t>64,2</w:t>
            </w:r>
          </w:p>
        </w:tc>
      </w:tr>
    </w:tbl>
    <w:p w14:paraId="1D319322" w14:textId="77777777" w:rsidR="00095719" w:rsidRDefault="00095719">
      <w:pPr>
        <w:spacing w:after="0"/>
      </w:pPr>
    </w:p>
    <w:p w14:paraId="11E63D52" w14:textId="77777777" w:rsidR="00095719" w:rsidRDefault="00A2569F">
      <w:r>
        <w:t>Promjene u vrijednosti financijske imovine odnose se na:</w:t>
      </w:r>
    </w:p>
    <w:p w14:paraId="48CB2E95" w14:textId="77777777" w:rsidR="00095719" w:rsidRDefault="00A2569F">
      <w:r>
        <w:t>smanjenje udjela u glavnici Ivakop d.o.o. u iznosu 2,55 eura,</w:t>
      </w:r>
    </w:p>
    <w:p w14:paraId="35C6E205" w14:textId="77777777" w:rsidR="00095719" w:rsidRDefault="00A2569F">
      <w:r>
        <w:t xml:space="preserve">smanjenje udjela u glavnici </w:t>
      </w:r>
      <w:proofErr w:type="spellStart"/>
      <w:r>
        <w:t>Ivaplin</w:t>
      </w:r>
      <w:proofErr w:type="spellEnd"/>
      <w:r>
        <w:t xml:space="preserve"> </w:t>
      </w:r>
      <w:proofErr w:type="spellStart"/>
      <w:r>
        <w:t>d.o.o.d</w:t>
      </w:r>
      <w:proofErr w:type="spellEnd"/>
      <w:r>
        <w:t xml:space="preserve"> u iznosu 8,00 eura,</w:t>
      </w:r>
    </w:p>
    <w:p w14:paraId="29D9B621" w14:textId="77777777" w:rsidR="00095719" w:rsidRDefault="00A2569F">
      <w:r>
        <w:t xml:space="preserve">povećanje udjela u glavnici </w:t>
      </w:r>
      <w:proofErr w:type="spellStart"/>
      <w:r>
        <w:t>Vodopskrbe</w:t>
      </w:r>
      <w:proofErr w:type="spellEnd"/>
      <w:r>
        <w:t xml:space="preserve"> i odvodnje Zagrebačke županije d.o.o. u vrijednosti 1,89 eura i</w:t>
      </w:r>
    </w:p>
    <w:p w14:paraId="202CE170" w14:textId="77777777" w:rsidR="00095719" w:rsidRDefault="00A2569F">
      <w:r>
        <w:t>povećanje udjela u glavnici Obiteljski radio Ivanić u iznosu 14,55 eura.</w:t>
      </w:r>
    </w:p>
    <w:p w14:paraId="74D14A2B" w14:textId="77777777" w:rsidR="00095719" w:rsidRDefault="00095719"/>
    <w:p w14:paraId="1C175493" w14:textId="77777777" w:rsidR="00095719" w:rsidRDefault="00A2569F">
      <w:pPr>
        <w:keepNext/>
        <w:spacing w:line="240" w:lineRule="auto"/>
        <w:jc w:val="center"/>
      </w:pPr>
      <w:r>
        <w:rPr>
          <w:sz w:val="28"/>
        </w:rPr>
        <w:t>Bilješka 22.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95719" w14:paraId="78E9AC19" w14:textId="77777777">
        <w:trPr>
          <w:cantSplit/>
        </w:trPr>
        <w:tc>
          <w:tcPr>
            <w:tcW w:w="700" w:type="dxa"/>
            <w:shd w:val="clear" w:color="auto" w:fill="E7F0F9"/>
            <w:tcMar>
              <w:top w:w="0" w:type="dxa"/>
              <w:bottom w:w="0" w:type="dxa"/>
            </w:tcMar>
            <w:vAlign w:val="center"/>
          </w:tcPr>
          <w:p w14:paraId="4614561B"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5382752"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64942A4"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38E5CDA" w14:textId="77777777" w:rsidR="00095719" w:rsidRDefault="00A2569F">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678CF7C7" w14:textId="77777777" w:rsidR="00095719" w:rsidRDefault="00A2569F">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260A6C4E" w14:textId="77777777" w:rsidR="00095719" w:rsidRDefault="00A2569F">
            <w:pPr>
              <w:keepNext/>
              <w:keepLines/>
              <w:spacing w:after="0" w:line="240" w:lineRule="auto"/>
              <w:jc w:val="center"/>
            </w:pPr>
            <w:r>
              <w:rPr>
                <w:b/>
                <w:sz w:val="18"/>
              </w:rPr>
              <w:t>Indeks (%)</w:t>
            </w:r>
          </w:p>
        </w:tc>
      </w:tr>
      <w:tr w:rsidR="00095719" w14:paraId="3C42C6AC" w14:textId="77777777">
        <w:trPr>
          <w:cantSplit/>
          <w:trHeight w:val="560"/>
        </w:trPr>
        <w:tc>
          <w:tcPr>
            <w:tcW w:w="700" w:type="dxa"/>
            <w:tcMar>
              <w:top w:w="0" w:type="dxa"/>
              <w:bottom w:w="0" w:type="dxa"/>
            </w:tcMar>
            <w:vAlign w:val="center"/>
          </w:tcPr>
          <w:p w14:paraId="377C2B07" w14:textId="77777777" w:rsidR="00095719" w:rsidRDefault="00A2569F">
            <w:pPr>
              <w:keepNext/>
              <w:keepLines/>
              <w:spacing w:after="0" w:line="240" w:lineRule="auto"/>
            </w:pPr>
            <w:r>
              <w:rPr>
                <w:sz w:val="18"/>
              </w:rPr>
              <w:t>91512</w:t>
            </w:r>
          </w:p>
        </w:tc>
        <w:tc>
          <w:tcPr>
            <w:tcW w:w="3180" w:type="dxa"/>
            <w:tcMar>
              <w:top w:w="0" w:type="dxa"/>
              <w:bottom w:w="0" w:type="dxa"/>
            </w:tcMar>
            <w:vAlign w:val="center"/>
          </w:tcPr>
          <w:p w14:paraId="318B6D68" w14:textId="77777777" w:rsidR="00095719" w:rsidRDefault="00A2569F">
            <w:pPr>
              <w:keepNext/>
              <w:keepLines/>
              <w:spacing w:after="0" w:line="240" w:lineRule="auto"/>
            </w:pPr>
            <w:r>
              <w:rPr>
                <w:sz w:val="18"/>
              </w:rPr>
              <w:t>Promjene u obujmu imovine (šifre P016+P023)</w:t>
            </w:r>
          </w:p>
        </w:tc>
        <w:tc>
          <w:tcPr>
            <w:tcW w:w="700" w:type="dxa"/>
            <w:tcMar>
              <w:top w:w="0" w:type="dxa"/>
              <w:bottom w:w="0" w:type="dxa"/>
            </w:tcMar>
            <w:vAlign w:val="center"/>
          </w:tcPr>
          <w:p w14:paraId="4CF0FBA8" w14:textId="77777777" w:rsidR="00095719" w:rsidRDefault="00A2569F">
            <w:pPr>
              <w:keepNext/>
              <w:keepLines/>
              <w:spacing w:after="0" w:line="240" w:lineRule="auto"/>
            </w:pPr>
            <w:r>
              <w:rPr>
                <w:sz w:val="18"/>
              </w:rPr>
              <w:t>91512</w:t>
            </w:r>
          </w:p>
        </w:tc>
        <w:tc>
          <w:tcPr>
            <w:tcW w:w="1860" w:type="dxa"/>
            <w:tcMar>
              <w:top w:w="0" w:type="dxa"/>
              <w:bottom w:w="0" w:type="dxa"/>
            </w:tcMar>
            <w:vAlign w:val="center"/>
          </w:tcPr>
          <w:p w14:paraId="53F343CE" w14:textId="77777777" w:rsidR="00095719" w:rsidRDefault="00A2569F">
            <w:pPr>
              <w:keepNext/>
              <w:keepLines/>
              <w:spacing w:after="0" w:line="240" w:lineRule="auto"/>
              <w:jc w:val="right"/>
            </w:pPr>
            <w:r>
              <w:rPr>
                <w:sz w:val="18"/>
              </w:rPr>
              <w:t>22.862,02</w:t>
            </w:r>
          </w:p>
        </w:tc>
        <w:tc>
          <w:tcPr>
            <w:tcW w:w="1860" w:type="dxa"/>
            <w:tcMar>
              <w:top w:w="0" w:type="dxa"/>
              <w:bottom w:w="0" w:type="dxa"/>
            </w:tcMar>
            <w:vAlign w:val="center"/>
          </w:tcPr>
          <w:p w14:paraId="367D25A1" w14:textId="77777777" w:rsidR="00095719" w:rsidRDefault="00A2569F">
            <w:pPr>
              <w:keepNext/>
              <w:keepLines/>
              <w:spacing w:after="0" w:line="240" w:lineRule="auto"/>
              <w:jc w:val="right"/>
            </w:pPr>
            <w:r>
              <w:rPr>
                <w:sz w:val="18"/>
              </w:rPr>
              <w:t>0,00</w:t>
            </w:r>
          </w:p>
        </w:tc>
        <w:tc>
          <w:tcPr>
            <w:tcW w:w="700" w:type="dxa"/>
            <w:tcMar>
              <w:top w:w="0" w:type="dxa"/>
              <w:bottom w:w="0" w:type="dxa"/>
            </w:tcMar>
            <w:vAlign w:val="center"/>
          </w:tcPr>
          <w:p w14:paraId="7A196BA0" w14:textId="77777777" w:rsidR="00095719" w:rsidRDefault="00A2569F">
            <w:pPr>
              <w:keepNext/>
              <w:keepLines/>
              <w:spacing w:after="0" w:line="240" w:lineRule="auto"/>
              <w:jc w:val="right"/>
            </w:pPr>
            <w:r>
              <w:rPr>
                <w:sz w:val="18"/>
              </w:rPr>
              <w:t>0</w:t>
            </w:r>
          </w:p>
        </w:tc>
      </w:tr>
    </w:tbl>
    <w:p w14:paraId="68CC7D8A" w14:textId="77777777" w:rsidR="00095719" w:rsidRDefault="00095719">
      <w:pPr>
        <w:spacing w:after="0"/>
      </w:pPr>
    </w:p>
    <w:p w14:paraId="07F8F4CC" w14:textId="77777777" w:rsidR="00095719" w:rsidRDefault="00A2569F">
      <w:r>
        <w:t>Promjene u obujmu imovine - promjene u evidentiranju izvedenog stanja za nerazvrstane ceste izvršene su u sklopu provjere provedbe naloga i preporuka danih u Reviziji učinkovitosti upravljanja komunalnom infrastrukturom.</w:t>
      </w:r>
    </w:p>
    <w:p w14:paraId="74D3EB88" w14:textId="77777777" w:rsidR="00095719" w:rsidRDefault="00095719"/>
    <w:p w14:paraId="00FFADCE" w14:textId="77777777" w:rsidR="00095719" w:rsidRDefault="00A2569F">
      <w:pPr>
        <w:keepNext/>
        <w:spacing w:line="240" w:lineRule="auto"/>
        <w:jc w:val="center"/>
      </w:pPr>
      <w:r>
        <w:rPr>
          <w:b/>
          <w:sz w:val="28"/>
        </w:rPr>
        <w:t>Izvještaj o obvezama</w:t>
      </w:r>
    </w:p>
    <w:p w14:paraId="6BBB72CD" w14:textId="77777777" w:rsidR="00095719" w:rsidRDefault="00A2569F">
      <w:pPr>
        <w:keepNext/>
        <w:spacing w:line="240" w:lineRule="auto"/>
        <w:jc w:val="center"/>
      </w:pPr>
      <w:r>
        <w:rPr>
          <w:sz w:val="28"/>
        </w:rPr>
        <w:t>Bilješka 23.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883"/>
        <w:gridCol w:w="4008"/>
        <w:gridCol w:w="882"/>
        <w:gridCol w:w="2345"/>
        <w:gridCol w:w="882"/>
      </w:tblGrid>
      <w:tr w:rsidR="00095719" w14:paraId="664AF542" w14:textId="77777777">
        <w:trPr>
          <w:cantSplit/>
        </w:trPr>
        <w:tc>
          <w:tcPr>
            <w:tcW w:w="700" w:type="dxa"/>
            <w:shd w:val="clear" w:color="auto" w:fill="E7F0F9"/>
            <w:tcMar>
              <w:top w:w="0" w:type="dxa"/>
              <w:bottom w:w="0" w:type="dxa"/>
            </w:tcMar>
            <w:vAlign w:val="center"/>
          </w:tcPr>
          <w:p w14:paraId="113020CE" w14:textId="77777777" w:rsidR="00095719" w:rsidRDefault="00A2569F">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E67474A" w14:textId="77777777" w:rsidR="00095719" w:rsidRDefault="00A2569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B26D486" w14:textId="77777777" w:rsidR="00095719" w:rsidRDefault="00A2569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BB3EF38" w14:textId="77777777" w:rsidR="00095719" w:rsidRDefault="00A2569F">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40ED2FAE" w14:textId="77777777" w:rsidR="00095719" w:rsidRDefault="00A2569F">
            <w:pPr>
              <w:keepNext/>
              <w:keepLines/>
              <w:spacing w:after="0" w:line="240" w:lineRule="auto"/>
              <w:jc w:val="center"/>
            </w:pPr>
            <w:r>
              <w:rPr>
                <w:b/>
                <w:sz w:val="18"/>
              </w:rPr>
              <w:t>Indeks (%)</w:t>
            </w:r>
          </w:p>
        </w:tc>
      </w:tr>
      <w:tr w:rsidR="00095719" w14:paraId="40458346" w14:textId="77777777">
        <w:trPr>
          <w:cantSplit/>
          <w:trHeight w:val="560"/>
        </w:trPr>
        <w:tc>
          <w:tcPr>
            <w:tcW w:w="700" w:type="dxa"/>
            <w:tcMar>
              <w:top w:w="0" w:type="dxa"/>
              <w:bottom w:w="0" w:type="dxa"/>
            </w:tcMar>
            <w:vAlign w:val="center"/>
          </w:tcPr>
          <w:p w14:paraId="64AFD704" w14:textId="77777777" w:rsidR="00095719" w:rsidRDefault="00095719">
            <w:pPr>
              <w:keepNext/>
              <w:keepLines/>
              <w:spacing w:after="0" w:line="240" w:lineRule="auto"/>
            </w:pPr>
          </w:p>
        </w:tc>
        <w:tc>
          <w:tcPr>
            <w:tcW w:w="3180" w:type="dxa"/>
            <w:tcMar>
              <w:top w:w="0" w:type="dxa"/>
              <w:bottom w:w="0" w:type="dxa"/>
            </w:tcMar>
            <w:vAlign w:val="center"/>
          </w:tcPr>
          <w:p w14:paraId="48D89FD3" w14:textId="77777777" w:rsidR="00095719" w:rsidRDefault="00A2569F">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14:paraId="397846A8" w14:textId="77777777" w:rsidR="00095719" w:rsidRDefault="00A2569F">
            <w:pPr>
              <w:keepNext/>
              <w:keepLines/>
              <w:spacing w:after="0" w:line="240" w:lineRule="auto"/>
            </w:pPr>
            <w:r>
              <w:rPr>
                <w:sz w:val="18"/>
              </w:rPr>
              <w:t>V007</w:t>
            </w:r>
          </w:p>
        </w:tc>
        <w:tc>
          <w:tcPr>
            <w:tcW w:w="1860" w:type="dxa"/>
            <w:tcMar>
              <w:top w:w="0" w:type="dxa"/>
              <w:bottom w:w="0" w:type="dxa"/>
            </w:tcMar>
            <w:vAlign w:val="center"/>
          </w:tcPr>
          <w:p w14:paraId="563B6F2D" w14:textId="77777777" w:rsidR="00095719" w:rsidRDefault="00A2569F">
            <w:pPr>
              <w:keepNext/>
              <w:keepLines/>
              <w:spacing w:after="0" w:line="240" w:lineRule="auto"/>
              <w:jc w:val="right"/>
            </w:pPr>
            <w:r>
              <w:rPr>
                <w:sz w:val="18"/>
              </w:rPr>
              <w:t>0,00</w:t>
            </w:r>
          </w:p>
        </w:tc>
        <w:tc>
          <w:tcPr>
            <w:tcW w:w="700" w:type="dxa"/>
            <w:tcMar>
              <w:top w:w="0" w:type="dxa"/>
              <w:bottom w:w="0" w:type="dxa"/>
            </w:tcMar>
            <w:vAlign w:val="center"/>
          </w:tcPr>
          <w:p w14:paraId="4124EA83" w14:textId="77777777" w:rsidR="00095719" w:rsidRDefault="00A2569F">
            <w:pPr>
              <w:keepNext/>
              <w:keepLines/>
              <w:spacing w:after="0" w:line="240" w:lineRule="auto"/>
              <w:jc w:val="right"/>
            </w:pPr>
            <w:r>
              <w:rPr>
                <w:sz w:val="18"/>
              </w:rPr>
              <w:t>-</w:t>
            </w:r>
          </w:p>
        </w:tc>
      </w:tr>
    </w:tbl>
    <w:p w14:paraId="45C9EC8C" w14:textId="77777777" w:rsidR="00095719" w:rsidRDefault="00095719">
      <w:pPr>
        <w:spacing w:after="0"/>
      </w:pPr>
    </w:p>
    <w:p w14:paraId="6E8481B6" w14:textId="77777777" w:rsidR="00095719" w:rsidRDefault="00A2569F">
      <w:r>
        <w:t>Općina Kloštar Ivanić na dan 31.12.2025. godine nije imala dospjelih obveza.</w:t>
      </w:r>
    </w:p>
    <w:p w14:paraId="6C710E90" w14:textId="77777777" w:rsidR="00095719" w:rsidRDefault="00095719"/>
    <w:p w14:paraId="4848966F" w14:textId="77777777" w:rsidR="00095719" w:rsidRDefault="00A2569F">
      <w:pPr>
        <w:keepNext/>
        <w:spacing w:line="240" w:lineRule="auto"/>
        <w:jc w:val="center"/>
      </w:pPr>
      <w:r>
        <w:rPr>
          <w:sz w:val="28"/>
        </w:rPr>
        <w:t>Bilješka 24.</w:t>
      </w:r>
    </w:p>
    <w:p w14:paraId="23BFFE5C" w14:textId="77777777" w:rsidR="00095719" w:rsidRDefault="00A2569F">
      <w:pPr>
        <w:spacing w:line="240" w:lineRule="auto"/>
        <w:jc w:val="both"/>
      </w:pPr>
      <w:r>
        <w:rPr>
          <w:b/>
        </w:rPr>
        <w:t>EU izvještaj</w:t>
      </w:r>
    </w:p>
    <w:p w14:paraId="178DE7B1" w14:textId="77777777" w:rsidR="00095719" w:rsidRDefault="00A2569F">
      <w:r>
        <w:t>Općina Kloštar Ivanić je u 2025. godini provodila dva projekta sufinancirana od strane Europske unije i to kako slijedi:</w:t>
      </w:r>
    </w:p>
    <w:p w14:paraId="39FE23BA" w14:textId="77777777" w:rsidR="00095719" w:rsidRDefault="00A2569F">
      <w:pPr>
        <w:pStyle w:val="Odlomakpopisa"/>
        <w:numPr>
          <w:ilvl w:val="0"/>
          <w:numId w:val="1"/>
        </w:numPr>
      </w:pPr>
      <w:r>
        <w:lastRenderedPageBreak/>
        <w:t>Projekt Zaželi jednakost za sve, 561 Europski socijalni fond</w:t>
      </w:r>
    </w:p>
    <w:p w14:paraId="65AD79C6" w14:textId="77777777" w:rsidR="00095719" w:rsidRDefault="00A2569F">
      <w:pPr>
        <w:pStyle w:val="Odlomakpopisa"/>
        <w:numPr>
          <w:ilvl w:val="0"/>
          <w:numId w:val="1"/>
        </w:numPr>
      </w:pPr>
      <w:r>
        <w:t>II. Dogradnja Dječjeg vrtića Proljeće Kloštar Ivanić, 581 Mehanizam za oporavak i otpornost - bespovratna sredstva.</w:t>
      </w:r>
    </w:p>
    <w:p w14:paraId="4B258DA6" w14:textId="77777777" w:rsidR="00095719" w:rsidRDefault="00095719"/>
    <w:sectPr w:rsidR="000957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AB1A5A"/>
    <w:multiLevelType w:val="hybridMultilevel"/>
    <w:tmpl w:val="11B47CEC"/>
    <w:name w:val="decimal"/>
    <w:lvl w:ilvl="0" w:tplc="E380570A">
      <w:start w:val="1"/>
      <w:numFmt w:val="decimal"/>
      <w:lvlText w:val="%1."/>
      <w:lvlJc w:val="left"/>
      <w:pPr>
        <w:ind w:left="720" w:hanging="360"/>
      </w:pPr>
    </w:lvl>
    <w:lvl w:ilvl="1" w:tplc="AFE6BD02">
      <w:start w:val="1"/>
      <w:numFmt w:val="decimal"/>
      <w:lvlText w:val="%2."/>
      <w:lvlJc w:val="left"/>
      <w:pPr>
        <w:ind w:left="1440" w:hanging="360"/>
      </w:pPr>
    </w:lvl>
    <w:lvl w:ilvl="2" w:tplc="9C54C85E">
      <w:start w:val="1"/>
      <w:numFmt w:val="decimal"/>
      <w:lvlText w:val="%3."/>
      <w:lvlJc w:val="left"/>
      <w:pPr>
        <w:ind w:left="2160" w:hanging="360"/>
      </w:pPr>
    </w:lvl>
    <w:lvl w:ilvl="3" w:tplc="5316EDB0">
      <w:start w:val="1"/>
      <w:numFmt w:val="decimal"/>
      <w:lvlText w:val="%4."/>
      <w:lvlJc w:val="left"/>
      <w:pPr>
        <w:ind w:left="2880" w:hanging="360"/>
      </w:pPr>
    </w:lvl>
    <w:lvl w:ilvl="4" w:tplc="326CB906">
      <w:start w:val="1"/>
      <w:numFmt w:val="decimal"/>
      <w:lvlText w:val="%5."/>
      <w:lvlJc w:val="left"/>
      <w:pPr>
        <w:ind w:left="3600" w:hanging="360"/>
      </w:pPr>
    </w:lvl>
    <w:lvl w:ilvl="5" w:tplc="936AC990">
      <w:start w:val="1"/>
      <w:numFmt w:val="decimal"/>
      <w:lvlText w:val="%6."/>
      <w:lvlJc w:val="left"/>
      <w:pPr>
        <w:ind w:left="4320" w:hanging="360"/>
      </w:pPr>
    </w:lvl>
    <w:lvl w:ilvl="6" w:tplc="577EEEB6">
      <w:start w:val="1"/>
      <w:numFmt w:val="decimal"/>
      <w:lvlText w:val="%7."/>
      <w:lvlJc w:val="left"/>
      <w:pPr>
        <w:ind w:left="5040" w:hanging="360"/>
      </w:pPr>
    </w:lvl>
    <w:lvl w:ilvl="7" w:tplc="3F58810C">
      <w:start w:val="1"/>
      <w:numFmt w:val="decimal"/>
      <w:lvlText w:val="%8."/>
      <w:lvlJc w:val="left"/>
      <w:pPr>
        <w:ind w:left="5760" w:hanging="360"/>
      </w:pPr>
    </w:lvl>
    <w:lvl w:ilvl="8" w:tplc="3BBC0D4A">
      <w:start w:val="1"/>
      <w:numFmt w:val="decimal"/>
      <w:lvlText w:val="%9."/>
      <w:lvlJc w:val="left"/>
      <w:pPr>
        <w:ind w:left="6480" w:hanging="360"/>
      </w:pPr>
    </w:lvl>
  </w:abstractNum>
  <w:num w:numId="1" w16cid:durableId="7146959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19"/>
    <w:rsid w:val="00095719"/>
    <w:rsid w:val="003B39EB"/>
    <w:rsid w:val="00A2569F"/>
    <w:rsid w:val="00A30AC1"/>
    <w:rsid w:val="00EA32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9AD63"/>
  <w15:docId w15:val="{23F3F430-9CC1-4F81-84CC-7E30393A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hr-HR" w:eastAsia="hr-H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2088</Words>
  <Characters>11904</Characters>
  <Application>Microsoft Office Word</Application>
  <DocSecurity>4</DocSecurity>
  <Lines>99</Lines>
  <Paragraphs>27</Paragraphs>
  <ScaleCrop>false</ScaleCrop>
  <Company/>
  <LinksUpToDate>false</LinksUpToDate>
  <CharactersWithSpaces>13965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Vlatkica Šilipetar</dc:creator>
  <cp:lastModifiedBy>Mateja Šviglin</cp:lastModifiedBy>
  <cp:revision>2</cp:revision>
  <cp:lastPrinted>2026-02-13T07:47:00Z</cp:lastPrinted>
  <dcterms:created xsi:type="dcterms:W3CDTF">2026-02-17T10:33:00Z</dcterms:created>
  <dcterms:modified xsi:type="dcterms:W3CDTF">2026-02-17T10:33:00Z</dcterms:modified>
</cp:coreProperties>
</file>